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7295813E" w:rsidR="0061663A" w:rsidRDefault="00066B3E" w:rsidP="00066B3E">
      <w:pPr>
        <w:rPr>
          <w:b/>
          <w:lang w:val="lt-LT"/>
        </w:rPr>
      </w:pPr>
      <w:bookmarkStart w:id="0" w:name="_Hlk512517110"/>
      <w:bookmarkEnd w:id="0"/>
      <w:r w:rsidRPr="000E2E4E">
        <w:rPr>
          <w:b/>
          <w:noProof/>
          <w:lang w:val="lt-LT" w:eastAsia="lt-LT"/>
        </w:rPr>
        <w:drawing>
          <wp:inline distT="0" distB="0" distL="0" distR="0" wp14:anchorId="43FBBF14" wp14:editId="2BDE49F8">
            <wp:extent cx="3730752" cy="739639"/>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527" cy="757041"/>
                    </a:xfrm>
                    <a:prstGeom prst="rect">
                      <a:avLst/>
                    </a:prstGeom>
                    <a:noFill/>
                  </pic:spPr>
                </pic:pic>
              </a:graphicData>
            </a:graphic>
          </wp:inline>
        </w:drawing>
      </w:r>
      <w:r>
        <w:rPr>
          <w:noProof/>
          <w:lang w:val="lt-LT" w:eastAsia="lt-LT"/>
        </w:rPr>
        <w:drawing>
          <wp:inline distT="0" distB="0" distL="0" distR="0" wp14:anchorId="128D8EF8" wp14:editId="5BB27152">
            <wp:extent cx="786765"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1048385"/>
                    </a:xfrm>
                    <a:prstGeom prst="rect">
                      <a:avLst/>
                    </a:prstGeom>
                    <a:noFill/>
                  </pic:spPr>
                </pic:pic>
              </a:graphicData>
            </a:graphic>
          </wp:inline>
        </w:drawing>
      </w:r>
      <w:r>
        <w:rPr>
          <w:noProof/>
          <w:lang w:val="lt-LT" w:eastAsia="lt-LT"/>
        </w:rPr>
        <w:drawing>
          <wp:inline distT="0" distB="0" distL="0" distR="0" wp14:anchorId="6C8C258D" wp14:editId="57898024">
            <wp:extent cx="1792605"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895985"/>
                    </a:xfrm>
                    <a:prstGeom prst="rect">
                      <a:avLst/>
                    </a:prstGeom>
                    <a:noFill/>
                  </pic:spPr>
                </pic:pic>
              </a:graphicData>
            </a:graphic>
          </wp:inline>
        </w:drawing>
      </w:r>
    </w:p>
    <w:p w14:paraId="05EB89ED" w14:textId="216BFB89" w:rsidR="001F3C12" w:rsidRPr="000E2E4E" w:rsidRDefault="001F3C12" w:rsidP="00D74209">
      <w:pPr>
        <w:jc w:val="center"/>
        <w:rPr>
          <w:lang w:val="lt-LT"/>
        </w:rPr>
      </w:pPr>
    </w:p>
    <w:p w14:paraId="679B5164" w14:textId="401D2563" w:rsidR="000620DB" w:rsidRPr="00B21213" w:rsidRDefault="000620DB" w:rsidP="000541E4">
      <w:pPr>
        <w:jc w:val="center"/>
        <w:rPr>
          <w:b/>
          <w:lang w:val="lt-LT"/>
        </w:rPr>
      </w:pPr>
      <w:r w:rsidRPr="00B21213">
        <w:rPr>
          <w:b/>
          <w:lang w:val="lt-LT"/>
        </w:rPr>
        <w:t>PAPRASTAS KVIETIM</w:t>
      </w:r>
      <w:r w:rsidR="00EC3D3D">
        <w:rPr>
          <w:b/>
          <w:lang w:val="lt-LT"/>
        </w:rPr>
        <w:t>AS TEIKTI VIETOS PROJEKTUS Nr. 2</w:t>
      </w:r>
      <w:r w:rsidR="00050AD4">
        <w:rPr>
          <w:b/>
          <w:lang w:val="lt-LT"/>
        </w:rPr>
        <w:t>2</w:t>
      </w:r>
    </w:p>
    <w:p w14:paraId="206079C5" w14:textId="77777777" w:rsidR="000541E4" w:rsidRPr="000E2E4E" w:rsidRDefault="000541E4" w:rsidP="000541E4">
      <w:pPr>
        <w:jc w:val="both"/>
        <w:rPr>
          <w:lang w:val="lt-LT"/>
        </w:rPr>
      </w:pPr>
    </w:p>
    <w:p w14:paraId="0169BD43" w14:textId="4F4AEAFF" w:rsidR="000620DB" w:rsidRDefault="000620DB" w:rsidP="0065482F">
      <w:pPr>
        <w:ind w:firstLine="567"/>
        <w:jc w:val="both"/>
        <w:rPr>
          <w:lang w:val="lt-LT"/>
        </w:rPr>
      </w:pPr>
      <w:r w:rsidRPr="000620DB">
        <w:rPr>
          <w:lang w:val="lt-LT"/>
        </w:rPr>
        <w:t>Zarasų – Visagino regiono vietos veiklos grupė kviečia teikti paprastus</w:t>
      </w:r>
      <w:r w:rsidRPr="000620DB">
        <w:rPr>
          <w:rFonts w:cs="Times New Roman"/>
          <w:szCs w:val="24"/>
          <w:lang w:val="lt-LT"/>
        </w:rPr>
        <w:t xml:space="preserve"> žvejybos ir akvakultūros</w:t>
      </w:r>
      <w:r w:rsidRPr="000620DB">
        <w:rPr>
          <w:lang w:val="lt-LT"/>
        </w:rPr>
        <w:t xml:space="preserve">  </w:t>
      </w:r>
      <w:r w:rsidR="0065482F" w:rsidRPr="000620DB">
        <w:rPr>
          <w:lang w:val="lt-LT"/>
        </w:rPr>
        <w:t xml:space="preserve">vietos projektus pagal </w:t>
      </w:r>
      <w:proofErr w:type="spellStart"/>
      <w:r w:rsidRPr="000620DB">
        <w:rPr>
          <w:lang w:val="lt-LT"/>
        </w:rPr>
        <w:t>dvisektorės</w:t>
      </w:r>
      <w:proofErr w:type="spellEnd"/>
      <w:r w:rsidRPr="000620DB">
        <w:rPr>
          <w:lang w:val="lt-LT"/>
        </w:rPr>
        <w:t xml:space="preserve"> vietos plėtros strategijos „Zarasų – Visagino regiono </w:t>
      </w:r>
      <w:proofErr w:type="spellStart"/>
      <w:r w:rsidRPr="000620DB">
        <w:rPr>
          <w:lang w:val="lt-LT"/>
        </w:rPr>
        <w:t>dvisektorė</w:t>
      </w:r>
      <w:proofErr w:type="spellEnd"/>
      <w:r w:rsidRPr="000620DB">
        <w:rPr>
          <w:lang w:val="lt-LT"/>
        </w:rPr>
        <w:t xml:space="preserve">  vietos plėtros strategija, Zarasų – Visagino regionas, 2014-2020“ (toliau – VPS) priemon</w:t>
      </w:r>
      <w:r w:rsidR="00B21213">
        <w:rPr>
          <w:lang w:val="lt-LT"/>
        </w:rPr>
        <w:t xml:space="preserve">ę </w:t>
      </w:r>
      <w:r w:rsidR="00EC3D3D" w:rsidRPr="00EC3D3D">
        <w:rPr>
          <w:lang w:val="lt-LT"/>
        </w:rPr>
        <w:t>„Žuvininkystės regiono verslo sektoriaus stiprinimas“</w:t>
      </w:r>
      <w:r w:rsidR="00EC3D3D">
        <w:rPr>
          <w:lang w:val="lt-LT"/>
        </w:rPr>
        <w:t>,  kodas</w:t>
      </w:r>
      <w:r w:rsidR="00EC3D3D" w:rsidRPr="00EC3D3D">
        <w:rPr>
          <w:lang w:val="lt-LT"/>
        </w:rPr>
        <w:t xml:space="preserve">  Nr. BIVP-AKVA-SAVA- 3</w:t>
      </w:r>
    </w:p>
    <w:tbl>
      <w:tblPr>
        <w:tblStyle w:val="TableGrid"/>
        <w:tblW w:w="0" w:type="auto"/>
        <w:tblLook w:val="04A0" w:firstRow="1" w:lastRow="0" w:firstColumn="1" w:lastColumn="0" w:noHBand="0" w:noVBand="1"/>
      </w:tblPr>
      <w:tblGrid>
        <w:gridCol w:w="3397"/>
        <w:gridCol w:w="6521"/>
      </w:tblGrid>
      <w:tr w:rsidR="00242297" w:rsidRPr="008233F5" w14:paraId="76CB635F" w14:textId="77777777" w:rsidTr="00F45B6D">
        <w:tc>
          <w:tcPr>
            <w:tcW w:w="3397" w:type="dxa"/>
            <w:vMerge w:val="restart"/>
            <w:vAlign w:val="center"/>
          </w:tcPr>
          <w:p w14:paraId="3EE0A579" w14:textId="77777777" w:rsidR="003F0986" w:rsidRPr="008233F5" w:rsidRDefault="003F0986" w:rsidP="003F0986">
            <w:pPr>
              <w:rPr>
                <w:b/>
                <w:szCs w:val="24"/>
                <w:lang w:val="lt-LT"/>
              </w:rPr>
            </w:pPr>
            <w:r w:rsidRPr="008233F5">
              <w:rPr>
                <w:b/>
                <w:szCs w:val="24"/>
                <w:lang w:val="lt-LT"/>
              </w:rPr>
              <w:t xml:space="preserve">VPS priemonės „Žuvininkystės regiono verslo sektoriaus stiprinimas“  </w:t>
            </w:r>
          </w:p>
          <w:p w14:paraId="04CC9029" w14:textId="7702BB84" w:rsidR="00F45B6D" w:rsidRPr="008233F5" w:rsidRDefault="003F0986" w:rsidP="003F0986">
            <w:pPr>
              <w:rPr>
                <w:b/>
                <w:szCs w:val="24"/>
                <w:lang w:val="lt-LT"/>
              </w:rPr>
            </w:pPr>
            <w:r w:rsidRPr="008233F5">
              <w:rPr>
                <w:b/>
                <w:szCs w:val="24"/>
                <w:lang w:val="lt-LT"/>
              </w:rPr>
              <w:t>Nr. BIVP-AKVA-SAVA- 3</w:t>
            </w:r>
          </w:p>
        </w:tc>
        <w:tc>
          <w:tcPr>
            <w:tcW w:w="6521" w:type="dxa"/>
          </w:tcPr>
          <w:p w14:paraId="4B73EB61" w14:textId="77777777" w:rsidR="00B21213" w:rsidRPr="008233F5" w:rsidRDefault="00242297" w:rsidP="0065482F">
            <w:pPr>
              <w:jc w:val="both"/>
              <w:rPr>
                <w:b/>
                <w:szCs w:val="24"/>
                <w:u w:val="single"/>
                <w:lang w:val="lt-LT"/>
              </w:rPr>
            </w:pPr>
            <w:r w:rsidRPr="008233F5">
              <w:rPr>
                <w:b/>
                <w:szCs w:val="24"/>
                <w:u w:val="single"/>
                <w:lang w:val="lt-LT"/>
              </w:rPr>
              <w:t>Remiamos veiklos:</w:t>
            </w:r>
          </w:p>
          <w:p w14:paraId="68F4BA7D" w14:textId="09267482" w:rsidR="00B21213" w:rsidRPr="008233F5" w:rsidRDefault="00242297" w:rsidP="00B21213">
            <w:pPr>
              <w:jc w:val="both"/>
              <w:rPr>
                <w:szCs w:val="24"/>
                <w:lang w:val="lt-LT"/>
              </w:rPr>
            </w:pPr>
            <w:r w:rsidRPr="008233F5">
              <w:rPr>
                <w:szCs w:val="24"/>
                <w:lang w:val="lt-LT"/>
              </w:rPr>
              <w:t xml:space="preserve"> </w:t>
            </w:r>
            <w:r w:rsidR="00B21213" w:rsidRPr="008233F5">
              <w:rPr>
                <w:szCs w:val="24"/>
                <w:lang w:val="lt-LT"/>
              </w:rPr>
              <w:t xml:space="preserve">1. investicijoms į akvakultūrą, akvakultūros produkcijos ir auginamų rūšių įvairinimą, akvakultūros ūkių modernizavimą ir tobulinimą;  </w:t>
            </w:r>
          </w:p>
          <w:p w14:paraId="0FA33809" w14:textId="77777777" w:rsidR="00B21213" w:rsidRPr="008233F5" w:rsidRDefault="00B21213" w:rsidP="00B21213">
            <w:pPr>
              <w:jc w:val="both"/>
              <w:rPr>
                <w:szCs w:val="24"/>
                <w:lang w:val="lt-LT"/>
              </w:rPr>
            </w:pPr>
            <w:r w:rsidRPr="008233F5">
              <w:rPr>
                <w:szCs w:val="24"/>
                <w:lang w:val="lt-LT"/>
              </w:rPr>
              <w:t>2. investicijoms į akvakultūros produktų kūrimą, kokybės gerinimą ar pridėtinės vertės kūrimą, įskaitant jų perdirbimą, rinkodarą ir tiesioginę prekybą;</w:t>
            </w:r>
          </w:p>
          <w:p w14:paraId="03A976F5" w14:textId="3FFE2EE1" w:rsidR="00B21213" w:rsidRPr="008233F5" w:rsidRDefault="00B21213" w:rsidP="00B21213">
            <w:pPr>
              <w:jc w:val="both"/>
              <w:rPr>
                <w:szCs w:val="24"/>
                <w:lang w:val="lt-LT"/>
              </w:rPr>
            </w:pPr>
            <w:r w:rsidRPr="008233F5">
              <w:rPr>
                <w:szCs w:val="24"/>
                <w:lang w:val="lt-LT"/>
              </w:rPr>
              <w:t xml:space="preserve">3. infrastruktūros kūrimas ar atnaujinimas projekto įgyvendinimo vietoje; </w:t>
            </w:r>
          </w:p>
          <w:p w14:paraId="174545A3" w14:textId="77777777" w:rsidR="00B21213" w:rsidRPr="008233F5" w:rsidRDefault="00B21213" w:rsidP="00B21213">
            <w:pPr>
              <w:jc w:val="both"/>
              <w:rPr>
                <w:szCs w:val="24"/>
                <w:lang w:val="lt-LT"/>
              </w:rPr>
            </w:pPr>
            <w:r w:rsidRPr="008233F5">
              <w:rPr>
                <w:szCs w:val="24"/>
                <w:lang w:val="lt-LT"/>
              </w:rPr>
              <w:t xml:space="preserve">4. žuvininkystės tvenkinių pagilinimas ar išvalymas; </w:t>
            </w:r>
          </w:p>
          <w:p w14:paraId="578D2D45" w14:textId="52E3D919" w:rsidR="00B21213" w:rsidRPr="008233F5" w:rsidRDefault="00B21213" w:rsidP="00B21213">
            <w:pPr>
              <w:jc w:val="both"/>
              <w:rPr>
                <w:szCs w:val="24"/>
                <w:lang w:val="lt-LT"/>
              </w:rPr>
            </w:pPr>
            <w:r w:rsidRPr="008233F5">
              <w:rPr>
                <w:szCs w:val="24"/>
                <w:lang w:val="lt-LT"/>
              </w:rPr>
              <w:t>5. gamybinių ir pagalbinių pastatų</w:t>
            </w:r>
            <w:r w:rsidR="00EC3D3D" w:rsidRPr="008233F5">
              <w:rPr>
                <w:szCs w:val="24"/>
                <w:lang w:val="lt-LT"/>
              </w:rPr>
              <w:t xml:space="preserve"> statyba, </w:t>
            </w:r>
            <w:r w:rsidRPr="008233F5">
              <w:rPr>
                <w:szCs w:val="24"/>
                <w:lang w:val="lt-LT"/>
              </w:rPr>
              <w:t xml:space="preserve"> įrengimas ar modernizavimas;</w:t>
            </w:r>
          </w:p>
          <w:p w14:paraId="5E0E8C9A" w14:textId="77777777" w:rsidR="00B21213" w:rsidRPr="008233F5" w:rsidRDefault="00B21213" w:rsidP="00B21213">
            <w:pPr>
              <w:jc w:val="both"/>
              <w:rPr>
                <w:szCs w:val="24"/>
                <w:lang w:val="lt-LT"/>
              </w:rPr>
            </w:pPr>
            <w:r w:rsidRPr="008233F5">
              <w:rPr>
                <w:szCs w:val="24"/>
                <w:lang w:val="lt-LT"/>
              </w:rPr>
              <w:t xml:space="preserve">6. žuvims veisti ir auginti skirtų uždarų vandens apykaitos sistemų įsigijimas; </w:t>
            </w:r>
          </w:p>
          <w:p w14:paraId="6F34D64B" w14:textId="27F4ED6B" w:rsidR="00B21213" w:rsidRPr="008233F5" w:rsidRDefault="00B21213" w:rsidP="00B21213">
            <w:pPr>
              <w:jc w:val="both"/>
              <w:rPr>
                <w:szCs w:val="24"/>
                <w:lang w:val="lt-LT"/>
              </w:rPr>
            </w:pPr>
            <w:r w:rsidRPr="008233F5">
              <w:rPr>
                <w:szCs w:val="24"/>
                <w:lang w:val="lt-LT"/>
              </w:rPr>
              <w:t>7. įrangos akvakultūros produktų ir žuvininkystės  gamybai, perdirbimui, pakavimui įsigijimas ir montavimas;</w:t>
            </w:r>
          </w:p>
          <w:p w14:paraId="79433D03" w14:textId="77777777" w:rsidR="00F45B6D" w:rsidRPr="008233F5" w:rsidRDefault="00B21213" w:rsidP="0065482F">
            <w:pPr>
              <w:jc w:val="both"/>
              <w:rPr>
                <w:szCs w:val="24"/>
                <w:lang w:val="lt-LT"/>
              </w:rPr>
            </w:pPr>
            <w:r w:rsidRPr="008233F5">
              <w:rPr>
                <w:szCs w:val="24"/>
                <w:lang w:val="lt-LT"/>
              </w:rPr>
              <w:t>8.  kt. investicijos, kurios padeda sukurti naujus ir patobulintus produktus ar procesus.</w:t>
            </w:r>
          </w:p>
          <w:p w14:paraId="36C320BA" w14:textId="393015A4" w:rsidR="00EC3D3D" w:rsidRPr="008233F5" w:rsidRDefault="00EC3D3D" w:rsidP="00EC3D3D">
            <w:pPr>
              <w:jc w:val="both"/>
              <w:rPr>
                <w:szCs w:val="24"/>
                <w:lang w:val="lt-LT"/>
              </w:rPr>
            </w:pPr>
            <w:r w:rsidRPr="008233F5">
              <w:rPr>
                <w:szCs w:val="24"/>
                <w:lang w:val="lt-LT"/>
              </w:rPr>
              <w:t>Investicijos yra tiesiogiai susijusios su darbo vietų kūrimu</w:t>
            </w:r>
            <w:r w:rsidR="00050AD4" w:rsidRPr="008233F5">
              <w:rPr>
                <w:szCs w:val="24"/>
                <w:lang w:val="lt-LT"/>
              </w:rPr>
              <w:t>.</w:t>
            </w:r>
          </w:p>
        </w:tc>
      </w:tr>
      <w:tr w:rsidR="00242297" w:rsidRPr="008233F5" w14:paraId="5A338D90" w14:textId="77777777" w:rsidTr="00421CC6">
        <w:tc>
          <w:tcPr>
            <w:tcW w:w="3397" w:type="dxa"/>
            <w:vMerge/>
          </w:tcPr>
          <w:p w14:paraId="73B0319D" w14:textId="77777777" w:rsidR="00F45B6D" w:rsidRPr="008233F5" w:rsidRDefault="00F45B6D" w:rsidP="0065482F">
            <w:pPr>
              <w:jc w:val="both"/>
              <w:rPr>
                <w:szCs w:val="24"/>
                <w:lang w:val="lt-LT"/>
              </w:rPr>
            </w:pPr>
          </w:p>
        </w:tc>
        <w:tc>
          <w:tcPr>
            <w:tcW w:w="6521" w:type="dxa"/>
          </w:tcPr>
          <w:p w14:paraId="030A55AB" w14:textId="77777777" w:rsidR="00B21213" w:rsidRPr="008233F5" w:rsidRDefault="00242297" w:rsidP="008A445D">
            <w:pPr>
              <w:jc w:val="both"/>
              <w:rPr>
                <w:rFonts w:eastAsia="Calibri"/>
                <w:b/>
                <w:szCs w:val="24"/>
                <w:lang w:val="lt-LT"/>
              </w:rPr>
            </w:pPr>
            <w:r w:rsidRPr="008233F5">
              <w:rPr>
                <w:rFonts w:eastAsia="Calibri"/>
                <w:b/>
                <w:szCs w:val="24"/>
                <w:lang w:val="lt-LT"/>
              </w:rPr>
              <w:t>Tinkami vietos projektų vykdytojai:</w:t>
            </w:r>
          </w:p>
          <w:p w14:paraId="496C48D9" w14:textId="34FF1792" w:rsidR="00F45B6D" w:rsidRPr="008233F5" w:rsidRDefault="00242297" w:rsidP="002872FA">
            <w:pPr>
              <w:rPr>
                <w:szCs w:val="24"/>
                <w:lang w:val="lt-LT"/>
              </w:rPr>
            </w:pPr>
            <w:r w:rsidRPr="008233F5">
              <w:rPr>
                <w:rFonts w:eastAsia="Calibri"/>
                <w:szCs w:val="24"/>
                <w:lang w:val="lt-LT"/>
              </w:rPr>
              <w:t xml:space="preserve"> </w:t>
            </w:r>
            <w:r w:rsidR="002872FA" w:rsidRPr="008233F5">
              <w:rPr>
                <w:szCs w:val="24"/>
                <w:lang w:val="lt-LT"/>
              </w:rPr>
              <w:t>Fiziniai asmenys, ūkininkai; juridiniai asmenys: labai mažos, mažos, vidutinės įmonės.</w:t>
            </w:r>
          </w:p>
        </w:tc>
      </w:tr>
      <w:tr w:rsidR="00242297" w:rsidRPr="008233F5" w14:paraId="2CE1DB12" w14:textId="77777777" w:rsidTr="00421CC6">
        <w:tc>
          <w:tcPr>
            <w:tcW w:w="3397" w:type="dxa"/>
            <w:vMerge/>
          </w:tcPr>
          <w:p w14:paraId="06CABA43" w14:textId="77777777" w:rsidR="00F45B6D" w:rsidRPr="008233F5" w:rsidRDefault="00F45B6D" w:rsidP="0065482F">
            <w:pPr>
              <w:jc w:val="both"/>
              <w:rPr>
                <w:szCs w:val="24"/>
                <w:lang w:val="lt-LT"/>
              </w:rPr>
            </w:pPr>
          </w:p>
        </w:tc>
        <w:tc>
          <w:tcPr>
            <w:tcW w:w="6521" w:type="dxa"/>
          </w:tcPr>
          <w:p w14:paraId="435BC4CD" w14:textId="77777777" w:rsidR="00066B3E" w:rsidRPr="008233F5" w:rsidRDefault="008A445D" w:rsidP="00066B3E">
            <w:pPr>
              <w:jc w:val="both"/>
              <w:rPr>
                <w:szCs w:val="24"/>
                <w:lang w:val="lt-LT"/>
              </w:rPr>
            </w:pPr>
            <w:r w:rsidRPr="008233F5">
              <w:rPr>
                <w:b/>
                <w:szCs w:val="24"/>
                <w:lang w:val="lt-LT"/>
              </w:rPr>
              <w:t>Kvietimui skiriama VPS paramos lėšų suma</w:t>
            </w:r>
            <w:r w:rsidR="00066B3E" w:rsidRPr="008233F5">
              <w:rPr>
                <w:b/>
                <w:szCs w:val="24"/>
                <w:lang w:val="lt-LT"/>
              </w:rPr>
              <w:t>:</w:t>
            </w:r>
            <w:r w:rsidRPr="008233F5">
              <w:rPr>
                <w:szCs w:val="24"/>
                <w:lang w:val="lt-LT"/>
              </w:rPr>
              <w:t xml:space="preserve">  </w:t>
            </w:r>
          </w:p>
          <w:p w14:paraId="496A94BC" w14:textId="4149C286" w:rsidR="00066B3E" w:rsidRPr="008233F5" w:rsidRDefault="00066B3E" w:rsidP="00066B3E">
            <w:pPr>
              <w:jc w:val="both"/>
              <w:rPr>
                <w:i/>
                <w:szCs w:val="24"/>
                <w:lang w:val="lt-LT"/>
              </w:rPr>
            </w:pPr>
            <w:bookmarkStart w:id="1" w:name="_Hlk512518101"/>
            <w:r w:rsidRPr="008233F5">
              <w:rPr>
                <w:szCs w:val="24"/>
                <w:lang w:val="lt-LT"/>
              </w:rPr>
              <w:t xml:space="preserve"> </w:t>
            </w:r>
            <w:bookmarkEnd w:id="1"/>
            <w:r w:rsidR="00EC3D3D" w:rsidRPr="008233F5">
              <w:rPr>
                <w:szCs w:val="24"/>
                <w:lang w:val="lt-LT"/>
              </w:rPr>
              <w:t>264 133,00 Eur</w:t>
            </w:r>
          </w:p>
          <w:p w14:paraId="01969CA4" w14:textId="029BC37D" w:rsidR="00066B3E" w:rsidRPr="008233F5" w:rsidRDefault="00066B3E" w:rsidP="00066B3E">
            <w:pPr>
              <w:rPr>
                <w:szCs w:val="24"/>
                <w:lang w:val="lt-LT"/>
              </w:rPr>
            </w:pPr>
            <w:r w:rsidRPr="008233F5">
              <w:rPr>
                <w:b/>
                <w:szCs w:val="24"/>
                <w:lang w:val="lt-LT"/>
              </w:rPr>
              <w:t>D</w:t>
            </w:r>
            <w:r w:rsidR="008A445D" w:rsidRPr="008233F5">
              <w:rPr>
                <w:b/>
                <w:szCs w:val="24"/>
                <w:lang w:val="lt-LT"/>
              </w:rPr>
              <w:t>idžiausia galima parama vienam vietos projektui įgyvendinti</w:t>
            </w:r>
            <w:r w:rsidRPr="008233F5">
              <w:rPr>
                <w:b/>
                <w:szCs w:val="24"/>
                <w:lang w:val="lt-LT"/>
              </w:rPr>
              <w:t>:</w:t>
            </w:r>
            <w:r w:rsidR="008A445D" w:rsidRPr="008233F5">
              <w:rPr>
                <w:szCs w:val="24"/>
                <w:lang w:val="lt-LT"/>
              </w:rPr>
              <w:t xml:space="preserve"> </w:t>
            </w:r>
          </w:p>
          <w:p w14:paraId="19960F9E" w14:textId="391CB8FA" w:rsidR="00F45B6D" w:rsidRPr="008233F5" w:rsidRDefault="00EC3D3D" w:rsidP="00066B3E">
            <w:pPr>
              <w:rPr>
                <w:szCs w:val="24"/>
                <w:lang w:val="lt-LT"/>
              </w:rPr>
            </w:pPr>
            <w:r w:rsidRPr="008233F5">
              <w:rPr>
                <w:szCs w:val="24"/>
                <w:lang w:val="lt-LT"/>
              </w:rPr>
              <w:t>199 000,00 Eur.</w:t>
            </w:r>
          </w:p>
        </w:tc>
      </w:tr>
      <w:tr w:rsidR="00242297" w:rsidRPr="008233F5" w14:paraId="025B7285" w14:textId="77777777" w:rsidTr="00421CC6">
        <w:tc>
          <w:tcPr>
            <w:tcW w:w="3397" w:type="dxa"/>
            <w:vMerge/>
          </w:tcPr>
          <w:p w14:paraId="6F9DFDA1" w14:textId="77777777" w:rsidR="00F45B6D" w:rsidRPr="008233F5" w:rsidRDefault="00F45B6D" w:rsidP="0065482F">
            <w:pPr>
              <w:jc w:val="both"/>
              <w:rPr>
                <w:szCs w:val="24"/>
                <w:lang w:val="lt-LT"/>
              </w:rPr>
            </w:pPr>
          </w:p>
        </w:tc>
        <w:tc>
          <w:tcPr>
            <w:tcW w:w="6521" w:type="dxa"/>
          </w:tcPr>
          <w:p w14:paraId="54CF2049" w14:textId="03F4818B" w:rsidR="00066B3E" w:rsidRPr="008233F5" w:rsidRDefault="008A445D" w:rsidP="008A445D">
            <w:pPr>
              <w:jc w:val="both"/>
              <w:rPr>
                <w:b/>
                <w:szCs w:val="24"/>
                <w:lang w:val="lt-LT"/>
              </w:rPr>
            </w:pPr>
            <w:r w:rsidRPr="008233F5">
              <w:rPr>
                <w:b/>
                <w:szCs w:val="24"/>
                <w:lang w:val="lt-LT"/>
              </w:rPr>
              <w:t>Paramos vietos projektui įgyvendinti lyginamoji dalis</w:t>
            </w:r>
            <w:r w:rsidR="00066B3E" w:rsidRPr="008233F5">
              <w:rPr>
                <w:b/>
                <w:szCs w:val="24"/>
                <w:lang w:val="lt-LT"/>
              </w:rPr>
              <w:t>:</w:t>
            </w:r>
          </w:p>
          <w:p w14:paraId="7CFA0E1F" w14:textId="77777777" w:rsidR="00EC3D3D" w:rsidRPr="008233F5" w:rsidRDefault="00EC3D3D" w:rsidP="00EC3D3D">
            <w:pPr>
              <w:autoSpaceDE w:val="0"/>
              <w:autoSpaceDN w:val="0"/>
              <w:adjustRightInd w:val="0"/>
              <w:ind w:firstLine="312"/>
              <w:jc w:val="both"/>
              <w:rPr>
                <w:rFonts w:eastAsia="Times New Roman" w:cs="Times New Roman"/>
                <w:szCs w:val="24"/>
                <w:lang w:val="lt-LT"/>
              </w:rPr>
            </w:pPr>
            <w:r w:rsidRPr="008233F5">
              <w:rPr>
                <w:rFonts w:eastAsia="Times New Roman" w:cs="Times New Roman"/>
                <w:b/>
                <w:szCs w:val="24"/>
                <w:lang w:val="lt-LT"/>
              </w:rPr>
              <w:t>iki 50 proc.</w:t>
            </w:r>
            <w:r w:rsidRPr="008233F5">
              <w:rPr>
                <w:rFonts w:eastAsia="Times New Roman" w:cs="Times New Roman"/>
                <w:szCs w:val="24"/>
                <w:lang w:val="lt-LT"/>
              </w:rPr>
              <w:t xml:space="preserve"> visų tinkamų finansuoti išlaidų gali būti taikoma, kai vietos projektas yra privataus žuvininkystės verslo pobūdžio (įsipareigojama įgyvendinus projektą gauti grynųjų pajamų) ir jį </w:t>
            </w:r>
            <w:r w:rsidRPr="008233F5">
              <w:rPr>
                <w:rFonts w:eastAsia="Times New Roman" w:cs="Times New Roman"/>
                <w:szCs w:val="24"/>
                <w:lang w:val="lt-LT"/>
              </w:rPr>
              <w:lastRenderedPageBreak/>
              <w:t>teikia privatus juridinis arba fizinis asmuo. Fizinių asmenų vietos projektai gali būti remiami tik tuo atveju, jeigu jie yra privataus žuvininkystės verslo pobūdžio (fizinių asmenų privataus žuvininkystės verslo pobūdžio vietos projektais laikomi vietos projektai, kurie yra teikiami fizinių asmenų, vietos projekto paraiškos pateikimo dieną arba vietos projekto įgyvendinimo metu veikiančių pagal liudijimą arba individualios veiklos pažymą, arba teikiami uždarųjų akcinių bendrovių ar kitą teisinį statusą turinčių juridinių asmenų, kai jų steigėjas yra vienas fizinis asmuo);</w:t>
            </w:r>
          </w:p>
          <w:p w14:paraId="4953EF4F" w14:textId="3D5D39CE" w:rsidR="00F45B6D" w:rsidRPr="008233F5" w:rsidRDefault="00EC3D3D" w:rsidP="00066B3E">
            <w:pPr>
              <w:jc w:val="both"/>
              <w:rPr>
                <w:b/>
                <w:szCs w:val="24"/>
                <w:lang w:val="lt-LT"/>
              </w:rPr>
            </w:pPr>
            <w:r w:rsidRPr="008233F5">
              <w:rPr>
                <w:rFonts w:eastAsia="Times New Roman" w:cs="Times New Roman"/>
                <w:b/>
                <w:szCs w:val="24"/>
                <w:lang w:val="lt-LT" w:eastAsia="lt-LT"/>
              </w:rPr>
              <w:t>iki 70 proc.</w:t>
            </w:r>
            <w:r w:rsidRPr="008233F5">
              <w:rPr>
                <w:rFonts w:eastAsia="Times New Roman" w:cs="Times New Roman"/>
                <w:szCs w:val="24"/>
                <w:lang w:val="lt-LT" w:eastAsia="lt-LT"/>
              </w:rPr>
              <w:t xml:space="preserve"> tinkamų finansuoti išlaidų gali būti taikoma, kai vietos projektas yra privataus žuvininkystės verslo pobūdžio (įsipareigojama gauti grynųjų pajamų) ir jį teikia privatus juridinis arba fizinis asmuo, ir vietos projektas yra inovatyvus vietos lygmeniu (nauji (iki vietos projekto paraiškos pateikimo dienos </w:t>
            </w:r>
            <w:proofErr w:type="spellStart"/>
            <w:r w:rsidRPr="008233F5">
              <w:rPr>
                <w:rFonts w:eastAsia="Times New Roman" w:cs="Times New Roman"/>
                <w:szCs w:val="24"/>
                <w:lang w:val="lt-LT" w:eastAsia="lt-LT"/>
              </w:rPr>
              <w:t>dvisektorės</w:t>
            </w:r>
            <w:proofErr w:type="spellEnd"/>
            <w:r w:rsidRPr="008233F5">
              <w:rPr>
                <w:rFonts w:eastAsia="Times New Roman" w:cs="Times New Roman"/>
                <w:szCs w:val="24"/>
                <w:lang w:val="lt-LT" w:eastAsia="lt-LT"/>
              </w:rPr>
              <w:t xml:space="preserve"> VVG teritorijoje neįgyvendinti) gamybos būdai ir (ar) produktai, ir (ar) aplinkosaugos, ir (ar) technologiniai sprendimai) ir visuomenei turi būti suteikiama galimybė susipažinti su vietos projekto veiksmais ir rezultatais.</w:t>
            </w:r>
          </w:p>
        </w:tc>
      </w:tr>
      <w:tr w:rsidR="005C4E1A" w:rsidRPr="008233F5" w14:paraId="38CC7B0E" w14:textId="77777777" w:rsidTr="00066B3E">
        <w:trPr>
          <w:trHeight w:val="572"/>
        </w:trPr>
        <w:tc>
          <w:tcPr>
            <w:tcW w:w="3397" w:type="dxa"/>
            <w:vMerge/>
          </w:tcPr>
          <w:p w14:paraId="09450BDF" w14:textId="77777777" w:rsidR="005C4E1A" w:rsidRPr="008233F5" w:rsidRDefault="005C4E1A" w:rsidP="0065482F">
            <w:pPr>
              <w:jc w:val="both"/>
              <w:rPr>
                <w:szCs w:val="24"/>
                <w:lang w:val="lt-LT"/>
              </w:rPr>
            </w:pPr>
          </w:p>
        </w:tc>
        <w:tc>
          <w:tcPr>
            <w:tcW w:w="6521" w:type="dxa"/>
          </w:tcPr>
          <w:p w14:paraId="38E51C4B" w14:textId="5105D0E6" w:rsidR="00066B3E" w:rsidRPr="008233F5" w:rsidRDefault="005C4E1A" w:rsidP="00066B3E">
            <w:pPr>
              <w:jc w:val="both"/>
              <w:rPr>
                <w:b/>
                <w:i/>
                <w:szCs w:val="24"/>
                <w:lang w:val="lt-LT"/>
              </w:rPr>
            </w:pPr>
            <w:r w:rsidRPr="008233F5">
              <w:rPr>
                <w:b/>
                <w:szCs w:val="24"/>
                <w:lang w:val="lt-LT"/>
              </w:rPr>
              <w:t>Finansavimo šaltiniai:</w:t>
            </w:r>
          </w:p>
          <w:p w14:paraId="487B2F25" w14:textId="7E51A5FA" w:rsidR="005C4E1A" w:rsidRPr="008233F5" w:rsidRDefault="005C4E1A" w:rsidP="0065482F">
            <w:pPr>
              <w:jc w:val="both"/>
              <w:rPr>
                <w:szCs w:val="24"/>
                <w:lang w:val="lt-LT"/>
              </w:rPr>
            </w:pPr>
            <w:r w:rsidRPr="008233F5">
              <w:rPr>
                <w:szCs w:val="24"/>
                <w:lang w:val="lt-LT"/>
              </w:rPr>
              <w:t>EJRŽF ir Lietuvos Respublikos valstybės biudžeto lėšos</w:t>
            </w:r>
            <w:r w:rsidR="00066B3E" w:rsidRPr="008233F5">
              <w:rPr>
                <w:szCs w:val="24"/>
                <w:lang w:val="lt-LT"/>
              </w:rPr>
              <w:t xml:space="preserve">. </w:t>
            </w:r>
          </w:p>
        </w:tc>
      </w:tr>
    </w:tbl>
    <w:p w14:paraId="55DF79ED" w14:textId="77777777" w:rsidR="003F0986" w:rsidRPr="00250F59" w:rsidRDefault="003F0986" w:rsidP="003F0986">
      <w:pPr>
        <w:spacing w:after="0" w:line="240" w:lineRule="auto"/>
        <w:ind w:firstLine="567"/>
        <w:jc w:val="both"/>
        <w:rPr>
          <w:szCs w:val="24"/>
          <w:lang w:val="lt-LT"/>
        </w:rPr>
      </w:pPr>
      <w:bookmarkStart w:id="2" w:name="_Hlk525821055"/>
      <w:r w:rsidRPr="00250F59">
        <w:rPr>
          <w:szCs w:val="24"/>
          <w:lang w:val="lt-LT"/>
        </w:rPr>
        <w:t>Vietos pro</w:t>
      </w:r>
      <w:r>
        <w:rPr>
          <w:szCs w:val="24"/>
          <w:lang w:val="lt-LT"/>
        </w:rPr>
        <w:t>jektų finansavimo sąlygų aprašai</w:t>
      </w:r>
      <w:r w:rsidRPr="00250F59">
        <w:rPr>
          <w:szCs w:val="24"/>
          <w:lang w:val="lt-LT"/>
        </w:rPr>
        <w:t xml:space="preserve"> skelbiam</w:t>
      </w:r>
      <w:r>
        <w:rPr>
          <w:szCs w:val="24"/>
          <w:lang w:val="lt-LT"/>
        </w:rPr>
        <w:t>i šiose interneto svetainėse</w:t>
      </w:r>
      <w:r w:rsidRPr="00250F59">
        <w:rPr>
          <w:szCs w:val="24"/>
          <w:lang w:val="lt-LT"/>
        </w:rPr>
        <w:t xml:space="preserve"> </w:t>
      </w:r>
      <w:hyperlink r:id="rId10" w:history="1">
        <w:r w:rsidRPr="00250F59">
          <w:rPr>
            <w:rStyle w:val="Hyperlink"/>
            <w:szCs w:val="24"/>
            <w:lang w:val="lt-LT"/>
          </w:rPr>
          <w:t>www.zarasaivvg.lt</w:t>
        </w:r>
      </w:hyperlink>
      <w:r w:rsidRPr="00250F59">
        <w:rPr>
          <w:szCs w:val="24"/>
          <w:lang w:val="lt-LT"/>
        </w:rPr>
        <w:t xml:space="preserve"> ir </w:t>
      </w:r>
      <w:hyperlink r:id="rId11" w:history="1">
        <w:r w:rsidRPr="00250F59">
          <w:rPr>
            <w:rStyle w:val="Hyperlink"/>
            <w:szCs w:val="24"/>
            <w:lang w:val="lt-LT"/>
          </w:rPr>
          <w:t>www.nma.lt</w:t>
        </w:r>
      </w:hyperlink>
      <w:r w:rsidRPr="00250F59">
        <w:rPr>
          <w:szCs w:val="24"/>
          <w:lang w:val="lt-LT"/>
        </w:rPr>
        <w:t>, taip pat Zarasų – Visagino regiono vietos veiklos grupės būstinėje adresu Sėlių a. 22, 327 kab., Zarasai.</w:t>
      </w:r>
    </w:p>
    <w:p w14:paraId="7955666A" w14:textId="78B5ACFF" w:rsidR="003F0986" w:rsidRPr="00344BE1" w:rsidRDefault="003F0986" w:rsidP="003F0986">
      <w:pPr>
        <w:spacing w:after="0" w:line="240" w:lineRule="auto"/>
        <w:ind w:firstLine="567"/>
        <w:jc w:val="both"/>
        <w:rPr>
          <w:b/>
          <w:szCs w:val="24"/>
          <w:lang w:val="lt-LT"/>
        </w:rPr>
      </w:pPr>
      <w:r w:rsidRPr="00286CA3">
        <w:rPr>
          <w:szCs w:val="24"/>
          <w:lang w:val="lt-LT"/>
        </w:rPr>
        <w:t xml:space="preserve">Kvietimas teikti vietos projektus galioja nuo </w:t>
      </w:r>
      <w:r w:rsidR="00EC3D3D" w:rsidRPr="00286CA3">
        <w:rPr>
          <w:b/>
          <w:szCs w:val="24"/>
          <w:lang w:val="lt-LT"/>
        </w:rPr>
        <w:t>2021</w:t>
      </w:r>
      <w:r w:rsidRPr="00286CA3">
        <w:rPr>
          <w:b/>
          <w:szCs w:val="24"/>
          <w:lang w:val="lt-LT"/>
        </w:rPr>
        <w:t xml:space="preserve"> m. </w:t>
      </w:r>
      <w:r w:rsidR="00050AD4" w:rsidRPr="00286CA3">
        <w:rPr>
          <w:b/>
          <w:szCs w:val="24"/>
          <w:lang w:val="lt-LT"/>
        </w:rPr>
        <w:t xml:space="preserve"> </w:t>
      </w:r>
      <w:r w:rsidR="00286CA3" w:rsidRPr="00286CA3">
        <w:rPr>
          <w:b/>
          <w:szCs w:val="24"/>
          <w:lang w:val="lt-LT"/>
        </w:rPr>
        <w:t xml:space="preserve"> gruodžio </w:t>
      </w:r>
      <w:r w:rsidR="002872FA" w:rsidRPr="00286CA3">
        <w:rPr>
          <w:b/>
          <w:szCs w:val="24"/>
          <w:lang w:val="lt-LT"/>
        </w:rPr>
        <w:t xml:space="preserve"> </w:t>
      </w:r>
      <w:r w:rsidR="00286CA3" w:rsidRPr="00286CA3">
        <w:rPr>
          <w:b/>
          <w:szCs w:val="24"/>
          <w:lang w:val="lt-LT"/>
        </w:rPr>
        <w:t>15</w:t>
      </w:r>
      <w:r w:rsidR="002872FA" w:rsidRPr="00286CA3">
        <w:rPr>
          <w:b/>
          <w:szCs w:val="24"/>
          <w:lang w:val="lt-LT"/>
        </w:rPr>
        <w:t xml:space="preserve"> </w:t>
      </w:r>
      <w:r w:rsidRPr="00286CA3">
        <w:rPr>
          <w:b/>
          <w:szCs w:val="24"/>
          <w:lang w:val="lt-LT"/>
        </w:rPr>
        <w:t xml:space="preserve">d., 8.00 val. iki                          </w:t>
      </w:r>
      <w:r w:rsidR="00EC3D3D" w:rsidRPr="00286CA3">
        <w:rPr>
          <w:b/>
          <w:szCs w:val="24"/>
          <w:lang w:val="lt-LT"/>
        </w:rPr>
        <w:t xml:space="preserve">                  202</w:t>
      </w:r>
      <w:r w:rsidR="00286CA3" w:rsidRPr="00286CA3">
        <w:rPr>
          <w:b/>
          <w:szCs w:val="24"/>
          <w:lang w:val="lt-LT"/>
        </w:rPr>
        <w:t>2</w:t>
      </w:r>
      <w:r w:rsidRPr="00286CA3">
        <w:rPr>
          <w:b/>
          <w:szCs w:val="24"/>
          <w:lang w:val="lt-LT"/>
        </w:rPr>
        <w:t xml:space="preserve"> m.   </w:t>
      </w:r>
      <w:r w:rsidR="00286CA3" w:rsidRPr="00286CA3">
        <w:rPr>
          <w:b/>
          <w:szCs w:val="24"/>
          <w:lang w:val="lt-LT"/>
        </w:rPr>
        <w:t>vasario</w:t>
      </w:r>
      <w:r w:rsidR="00050AD4" w:rsidRPr="00286CA3">
        <w:rPr>
          <w:b/>
          <w:szCs w:val="24"/>
          <w:lang w:val="lt-LT"/>
        </w:rPr>
        <w:t xml:space="preserve"> </w:t>
      </w:r>
      <w:r w:rsidR="00286CA3" w:rsidRPr="00286CA3">
        <w:rPr>
          <w:b/>
          <w:szCs w:val="24"/>
          <w:lang w:val="lt-LT"/>
        </w:rPr>
        <w:t>3</w:t>
      </w:r>
      <w:r w:rsidR="002872FA" w:rsidRPr="00286CA3">
        <w:rPr>
          <w:b/>
          <w:szCs w:val="24"/>
          <w:lang w:val="lt-LT"/>
        </w:rPr>
        <w:t xml:space="preserve"> </w:t>
      </w:r>
      <w:r w:rsidRPr="00286CA3">
        <w:rPr>
          <w:b/>
          <w:szCs w:val="24"/>
          <w:lang w:val="lt-LT"/>
        </w:rPr>
        <w:t>d. 1</w:t>
      </w:r>
      <w:r w:rsidR="00F01035" w:rsidRPr="00286CA3">
        <w:rPr>
          <w:b/>
          <w:szCs w:val="24"/>
          <w:lang w:val="lt-LT"/>
        </w:rPr>
        <w:t>5</w:t>
      </w:r>
      <w:r w:rsidRPr="00286CA3">
        <w:rPr>
          <w:b/>
          <w:szCs w:val="24"/>
          <w:lang w:val="lt-LT"/>
        </w:rPr>
        <w:t>.00 val.</w:t>
      </w:r>
      <w:r w:rsidRPr="00344BE1">
        <w:rPr>
          <w:b/>
          <w:szCs w:val="24"/>
          <w:lang w:val="lt-LT"/>
        </w:rPr>
        <w:t xml:space="preserve"> </w:t>
      </w:r>
      <w:r w:rsidRPr="00344BE1">
        <w:rPr>
          <w:b/>
          <w:i/>
          <w:szCs w:val="24"/>
          <w:lang w:val="lt-LT"/>
        </w:rPr>
        <w:t xml:space="preserve"> </w:t>
      </w:r>
    </w:p>
    <w:p w14:paraId="5C46F13C" w14:textId="77777777" w:rsidR="003F0986" w:rsidRPr="008233F5" w:rsidRDefault="003F0986" w:rsidP="003F0986">
      <w:pPr>
        <w:spacing w:after="0" w:line="240" w:lineRule="auto"/>
        <w:ind w:firstLine="567"/>
        <w:jc w:val="both"/>
        <w:rPr>
          <w:szCs w:val="24"/>
          <w:lang w:val="lt-LT"/>
        </w:rPr>
      </w:pPr>
      <w:r w:rsidRPr="00250F59">
        <w:rPr>
          <w:szCs w:val="24"/>
          <w:lang w:val="lt-LT"/>
        </w:rPr>
        <w:t xml:space="preserve">Vietos projektų paraiškos priimamos Zarasų – Visagino regiono vietos veiklos grupės būstinėje </w:t>
      </w:r>
      <w:r w:rsidRPr="008233F5">
        <w:rPr>
          <w:szCs w:val="24"/>
          <w:lang w:val="lt-LT"/>
        </w:rPr>
        <w:t>adresu Sėlių a. 22, 327 kab., Zarasai.</w:t>
      </w:r>
    </w:p>
    <w:p w14:paraId="28A16709" w14:textId="2AD252B1" w:rsidR="003F0986" w:rsidRPr="008233F5" w:rsidRDefault="003F0986" w:rsidP="003F0986">
      <w:pPr>
        <w:spacing w:after="0" w:line="240" w:lineRule="auto"/>
        <w:ind w:firstLine="567"/>
        <w:jc w:val="both"/>
        <w:rPr>
          <w:szCs w:val="24"/>
          <w:lang w:val="lt-LT"/>
        </w:rPr>
      </w:pPr>
      <w:bookmarkStart w:id="3" w:name="_Hlk525821321"/>
      <w:bookmarkEnd w:id="2"/>
      <w:r w:rsidRPr="008233F5">
        <w:rPr>
          <w:rFonts w:eastAsia="Calibri" w:cs="Times New Roman"/>
          <w:szCs w:val="24"/>
          <w:lang w:val="lt-LT"/>
        </w:rPr>
        <w:t xml:space="preserve">Per vieną paramos paraiškų priėmimo laikotarpį vietos projekto paraiškos teikėjas gali pateikti vieną vietos projekto paraišką. </w:t>
      </w:r>
      <w:r w:rsidRPr="008233F5">
        <w:rPr>
          <w:szCs w:val="24"/>
          <w:lang w:val="lt-LT"/>
        </w:rPr>
        <w:t>Paraiška ir (arba) papildomi dokumentai turi būti pateikti:</w:t>
      </w:r>
    </w:p>
    <w:p w14:paraId="52FA8EBF" w14:textId="3BBCEDC3" w:rsidR="003F0986" w:rsidRPr="008233F5" w:rsidRDefault="00725305" w:rsidP="003F0986">
      <w:pPr>
        <w:spacing w:after="0" w:line="240" w:lineRule="auto"/>
        <w:jc w:val="both"/>
        <w:rPr>
          <w:szCs w:val="24"/>
          <w:lang w:val="lt-LT"/>
        </w:rPr>
      </w:pPr>
      <w:r w:rsidRPr="008233F5">
        <w:rPr>
          <w:szCs w:val="24"/>
          <w:lang w:val="lt-LT"/>
        </w:rPr>
        <w:t xml:space="preserve"> - </w:t>
      </w:r>
      <w:r w:rsidR="003F0986" w:rsidRPr="008233F5">
        <w:rPr>
          <w:szCs w:val="24"/>
          <w:lang w:val="lt-LT"/>
        </w:rPr>
        <w:t>asmeniškai pareiškėjo arba jo įgalioto asmens (įgaliojimas laikomas tinkamu, jeigu jis pasirašytas juridinio asmens vadovo ir ant jo uždėtas to juridinio asmens antspaudas, jeigu jis antspaudą privalo turėti)</w:t>
      </w:r>
      <w:r w:rsidR="00BF0294" w:rsidRPr="008233F5">
        <w:rPr>
          <w:szCs w:val="24"/>
          <w:lang w:val="lt-LT"/>
        </w:rPr>
        <w:t>;</w:t>
      </w:r>
    </w:p>
    <w:p w14:paraId="568AF974" w14:textId="12DF53DD" w:rsidR="00BF0294" w:rsidRPr="008233F5" w:rsidRDefault="00BF0294" w:rsidP="00BF0294">
      <w:pPr>
        <w:spacing w:after="0" w:line="240" w:lineRule="auto"/>
        <w:rPr>
          <w:rFonts w:eastAsia="Times New Roman" w:cs="Times New Roman"/>
          <w:bCs/>
          <w:i/>
          <w:szCs w:val="24"/>
          <w:lang w:val="lt-LT"/>
        </w:rPr>
      </w:pPr>
      <w:r w:rsidRPr="008233F5">
        <w:rPr>
          <w:szCs w:val="24"/>
          <w:lang w:val="lt-LT"/>
        </w:rPr>
        <w:t xml:space="preserve">- </w:t>
      </w:r>
      <w:r w:rsidRPr="008233F5">
        <w:rPr>
          <w:rFonts w:eastAsia="Times New Roman" w:cs="Times New Roman"/>
          <w:bCs/>
          <w:szCs w:val="24"/>
          <w:lang w:val="lt-LT"/>
        </w:rPr>
        <w:t>naudojantis įrengtomis „paraiškų dėžutėmis“ (</w:t>
      </w:r>
      <w:r w:rsidRPr="008233F5">
        <w:rPr>
          <w:rFonts w:eastAsia="Times New Roman" w:cs="Times New Roman"/>
          <w:bCs/>
          <w:i/>
          <w:szCs w:val="24"/>
          <w:lang w:val="lt-LT"/>
        </w:rPr>
        <w:t>taikoma karantino ir ekstremaliosios situacijos dėl COVID-19 ligos (koronaviruso infekcijos) metu);</w:t>
      </w:r>
    </w:p>
    <w:p w14:paraId="187967AA" w14:textId="77777777" w:rsidR="00BF0294" w:rsidRPr="008233F5" w:rsidRDefault="00BF0294" w:rsidP="00BF0294">
      <w:pPr>
        <w:spacing w:after="0" w:line="240" w:lineRule="auto"/>
        <w:jc w:val="both"/>
        <w:rPr>
          <w:rFonts w:eastAsia="Times New Roman" w:cs="Times New Roman"/>
          <w:bCs/>
          <w:szCs w:val="24"/>
          <w:lang w:val="lt-LT"/>
        </w:rPr>
      </w:pPr>
      <w:r w:rsidRPr="008233F5">
        <w:rPr>
          <w:rFonts w:eastAsia="Times New Roman" w:cs="Times New Roman"/>
          <w:bCs/>
          <w:szCs w:val="24"/>
          <w:lang w:val="lt-LT"/>
        </w:rPr>
        <w:t xml:space="preserve">- Paštu, registruotu laišku. </w:t>
      </w:r>
      <w:r w:rsidRPr="008233F5">
        <w:rPr>
          <w:rFonts w:eastAsia="Times New Roman" w:cs="Times New Roman"/>
          <w:bCs/>
          <w:i/>
          <w:iCs/>
          <w:szCs w:val="24"/>
          <w:lang w:val="lt-LT"/>
        </w:rPr>
        <w:t>(taikoma karantino ir ekstremaliosios situacijos dėl COVID-19 ligos (koronaviruso infekcijos) metu).</w:t>
      </w:r>
    </w:p>
    <w:p w14:paraId="37D69146" w14:textId="55B3F3CF" w:rsidR="003F0986" w:rsidRPr="008233F5" w:rsidRDefault="003F0986" w:rsidP="00BF0294">
      <w:pPr>
        <w:spacing w:after="0" w:line="240" w:lineRule="auto"/>
        <w:ind w:firstLine="567"/>
        <w:jc w:val="both"/>
        <w:rPr>
          <w:rFonts w:eastAsia="Times New Roman" w:cs="Times New Roman"/>
          <w:bCs/>
          <w:szCs w:val="24"/>
          <w:lang w:val="lt-LT"/>
        </w:rPr>
      </w:pPr>
      <w:r w:rsidRPr="008233F5">
        <w:rPr>
          <w:szCs w:val="24"/>
          <w:lang w:val="lt-LT"/>
        </w:rPr>
        <w:t>Vietos projektų paraiškos, pateiktos kitu būdu (pvz., paštu, per kurjerį)  nepriimamos.</w:t>
      </w:r>
    </w:p>
    <w:p w14:paraId="3D8FF895" w14:textId="77777777" w:rsidR="003F0986" w:rsidRPr="008233F5" w:rsidRDefault="003F0986" w:rsidP="003F0986">
      <w:pPr>
        <w:spacing w:after="0" w:line="240" w:lineRule="auto"/>
        <w:ind w:firstLine="567"/>
        <w:jc w:val="both"/>
        <w:rPr>
          <w:szCs w:val="24"/>
          <w:lang w:val="lt-LT"/>
        </w:rPr>
      </w:pPr>
      <w:r w:rsidRPr="008233F5">
        <w:rPr>
          <w:szCs w:val="24"/>
          <w:lang w:val="lt-LT"/>
        </w:rPr>
        <w:t>Informacija apie kvietimą teikti vietos projektus ir vietos projektų įgyvendinimą teikiama VPS vykdytojo buveinėje, darbo dienomis nuo  09:00 valandos iki 17:00 valandos (penktadieniais iki 16:00 val.) ir telefonais:</w:t>
      </w:r>
    </w:p>
    <w:p w14:paraId="574030E9" w14:textId="77777777" w:rsidR="003F0986" w:rsidRPr="008233F5" w:rsidRDefault="003F0986" w:rsidP="003F0986">
      <w:pPr>
        <w:spacing w:after="0" w:line="240" w:lineRule="auto"/>
        <w:ind w:firstLine="567"/>
        <w:jc w:val="both"/>
        <w:rPr>
          <w:szCs w:val="24"/>
          <w:lang w:val="lt-LT"/>
        </w:rPr>
      </w:pPr>
      <w:r w:rsidRPr="008233F5">
        <w:rPr>
          <w:szCs w:val="24"/>
          <w:lang w:val="lt-LT"/>
        </w:rPr>
        <w:t xml:space="preserve">VPS vadovas Arvydas </w:t>
      </w:r>
      <w:proofErr w:type="spellStart"/>
      <w:r w:rsidRPr="008233F5">
        <w:rPr>
          <w:szCs w:val="24"/>
          <w:lang w:val="lt-LT"/>
        </w:rPr>
        <w:t>Veikšra</w:t>
      </w:r>
      <w:proofErr w:type="spellEnd"/>
      <w:r w:rsidRPr="008233F5">
        <w:rPr>
          <w:szCs w:val="24"/>
          <w:lang w:val="lt-LT"/>
        </w:rPr>
        <w:t>, tel.: +370 609 97118;</w:t>
      </w:r>
    </w:p>
    <w:p w14:paraId="54A1511B" w14:textId="77777777" w:rsidR="003F0986" w:rsidRPr="008233F5" w:rsidRDefault="003F0986" w:rsidP="003F0986">
      <w:pPr>
        <w:spacing w:after="0" w:line="240" w:lineRule="auto"/>
        <w:ind w:firstLine="567"/>
        <w:jc w:val="both"/>
        <w:rPr>
          <w:szCs w:val="24"/>
          <w:lang w:val="lt-LT"/>
        </w:rPr>
      </w:pPr>
      <w:r w:rsidRPr="008233F5">
        <w:rPr>
          <w:szCs w:val="24"/>
          <w:lang w:val="lt-LT"/>
        </w:rPr>
        <w:t xml:space="preserve">VPS strategijos administratorė Jūratė </w:t>
      </w:r>
      <w:proofErr w:type="spellStart"/>
      <w:r w:rsidRPr="008233F5">
        <w:rPr>
          <w:szCs w:val="24"/>
          <w:lang w:val="lt-LT"/>
        </w:rPr>
        <w:t>Buičenkienė</w:t>
      </w:r>
      <w:proofErr w:type="spellEnd"/>
      <w:r w:rsidRPr="008233F5">
        <w:rPr>
          <w:szCs w:val="24"/>
          <w:lang w:val="lt-LT"/>
        </w:rPr>
        <w:t xml:space="preserve">, </w:t>
      </w:r>
      <w:bookmarkStart w:id="4" w:name="_Hlk493753032"/>
      <w:r w:rsidRPr="008233F5">
        <w:rPr>
          <w:szCs w:val="24"/>
          <w:lang w:val="lt-LT"/>
        </w:rPr>
        <w:t xml:space="preserve"> tel.: +370 609 97119</w:t>
      </w:r>
      <w:bookmarkEnd w:id="4"/>
      <w:r w:rsidRPr="008233F5">
        <w:rPr>
          <w:szCs w:val="24"/>
          <w:lang w:val="lt-LT"/>
        </w:rPr>
        <w:t>;</w:t>
      </w:r>
    </w:p>
    <w:p w14:paraId="4BB15951" w14:textId="77777777" w:rsidR="003F0986" w:rsidRPr="008233F5" w:rsidRDefault="003F0986" w:rsidP="003F0986">
      <w:pPr>
        <w:spacing w:after="0" w:line="240" w:lineRule="auto"/>
        <w:ind w:firstLine="567"/>
        <w:jc w:val="both"/>
        <w:rPr>
          <w:szCs w:val="24"/>
          <w:lang w:val="lt-LT"/>
        </w:rPr>
      </w:pPr>
      <w:r w:rsidRPr="008233F5">
        <w:rPr>
          <w:szCs w:val="24"/>
          <w:lang w:val="lt-LT"/>
        </w:rPr>
        <w:t xml:space="preserve">VPS finansininkė Danutė Baublienė, tel.: +370 609 97125; </w:t>
      </w:r>
    </w:p>
    <w:p w14:paraId="6DBC5077" w14:textId="77777777" w:rsidR="003F0986" w:rsidRPr="008233F5" w:rsidRDefault="003F0986" w:rsidP="003F0986">
      <w:pPr>
        <w:spacing w:after="0" w:line="240" w:lineRule="auto"/>
        <w:ind w:firstLine="567"/>
        <w:jc w:val="both"/>
        <w:rPr>
          <w:szCs w:val="24"/>
        </w:rPr>
      </w:pPr>
      <w:r w:rsidRPr="008233F5">
        <w:rPr>
          <w:szCs w:val="24"/>
          <w:lang w:val="lt-LT"/>
        </w:rPr>
        <w:t>VPS viešųjų ryšių specialistė Julija Goštautaitė-Adomavičienė, tel. +370 699 33084.</w:t>
      </w:r>
    </w:p>
    <w:bookmarkEnd w:id="3"/>
    <w:p w14:paraId="75EEA747" w14:textId="77777777" w:rsidR="00FF148D" w:rsidRPr="000E2E4E" w:rsidRDefault="00FF148D" w:rsidP="00FF148D">
      <w:pPr>
        <w:spacing w:after="0" w:line="240" w:lineRule="auto"/>
        <w:ind w:firstLine="567"/>
        <w:jc w:val="both"/>
        <w:rPr>
          <w:lang w:val="lt-LT"/>
        </w:rPr>
      </w:pPr>
    </w:p>
    <w:sectPr w:rsidR="00FF148D" w:rsidRPr="000E2E4E" w:rsidSect="00066B3E">
      <w:headerReference w:type="default" r:id="rId12"/>
      <w:footerReference w:type="first" r:id="rId13"/>
      <w:pgSz w:w="12240" w:h="15840"/>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B958" w14:textId="77777777" w:rsidR="002C05EF" w:rsidRDefault="002C05EF" w:rsidP="00BB2C73">
      <w:pPr>
        <w:spacing w:after="0" w:line="240" w:lineRule="auto"/>
      </w:pPr>
      <w:r>
        <w:separator/>
      </w:r>
    </w:p>
  </w:endnote>
  <w:endnote w:type="continuationSeparator" w:id="0">
    <w:p w14:paraId="4F5378DD" w14:textId="77777777" w:rsidR="002C05EF" w:rsidRDefault="002C05E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04D5" w14:textId="77777777" w:rsidR="002C05EF" w:rsidRDefault="002C05EF" w:rsidP="00BB2C73">
      <w:pPr>
        <w:spacing w:after="0" w:line="240" w:lineRule="auto"/>
      </w:pPr>
      <w:r>
        <w:separator/>
      </w:r>
    </w:p>
  </w:footnote>
  <w:footnote w:type="continuationSeparator" w:id="0">
    <w:p w14:paraId="20B16CA0" w14:textId="77777777" w:rsidR="002C05EF" w:rsidRDefault="002C05EF"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5883971" w:rsidR="00BB2C73" w:rsidRDefault="00BB2C73">
        <w:pPr>
          <w:pStyle w:val="Header"/>
          <w:jc w:val="center"/>
        </w:pPr>
        <w:r>
          <w:fldChar w:fldCharType="begin"/>
        </w:r>
        <w:r>
          <w:instrText>PAGE   \* MERGEFORMAT</w:instrText>
        </w:r>
        <w:r>
          <w:fldChar w:fldCharType="separate"/>
        </w:r>
        <w:r w:rsidR="00BF0294" w:rsidRPr="00BF0294">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0AD4"/>
    <w:rsid w:val="0005283B"/>
    <w:rsid w:val="000541E4"/>
    <w:rsid w:val="000620DB"/>
    <w:rsid w:val="00066B3E"/>
    <w:rsid w:val="00077C5E"/>
    <w:rsid w:val="000E2E4E"/>
    <w:rsid w:val="00106EF3"/>
    <w:rsid w:val="00146FDE"/>
    <w:rsid w:val="00151AE4"/>
    <w:rsid w:val="00180894"/>
    <w:rsid w:val="00180F95"/>
    <w:rsid w:val="00195C69"/>
    <w:rsid w:val="001B7A93"/>
    <w:rsid w:val="001E5CA8"/>
    <w:rsid w:val="001F159E"/>
    <w:rsid w:val="001F3C12"/>
    <w:rsid w:val="0020289F"/>
    <w:rsid w:val="002034B1"/>
    <w:rsid w:val="0023616A"/>
    <w:rsid w:val="002374B2"/>
    <w:rsid w:val="00242297"/>
    <w:rsid w:val="00256D17"/>
    <w:rsid w:val="00286CA3"/>
    <w:rsid w:val="002872FA"/>
    <w:rsid w:val="00287AAA"/>
    <w:rsid w:val="002B651E"/>
    <w:rsid w:val="002C05EF"/>
    <w:rsid w:val="002D30B0"/>
    <w:rsid w:val="002F0467"/>
    <w:rsid w:val="00304BCA"/>
    <w:rsid w:val="00324241"/>
    <w:rsid w:val="00336817"/>
    <w:rsid w:val="003652C2"/>
    <w:rsid w:val="003F0986"/>
    <w:rsid w:val="00421CC6"/>
    <w:rsid w:val="00476BF2"/>
    <w:rsid w:val="005330E2"/>
    <w:rsid w:val="0057781A"/>
    <w:rsid w:val="00591BC6"/>
    <w:rsid w:val="005A38F3"/>
    <w:rsid w:val="005C4E1A"/>
    <w:rsid w:val="005F1067"/>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25305"/>
    <w:rsid w:val="007616E9"/>
    <w:rsid w:val="007903CD"/>
    <w:rsid w:val="007A6288"/>
    <w:rsid w:val="007B792B"/>
    <w:rsid w:val="007C1821"/>
    <w:rsid w:val="00815962"/>
    <w:rsid w:val="008233F5"/>
    <w:rsid w:val="00837CAA"/>
    <w:rsid w:val="00844395"/>
    <w:rsid w:val="00853AC3"/>
    <w:rsid w:val="008851CD"/>
    <w:rsid w:val="008A3921"/>
    <w:rsid w:val="008A445D"/>
    <w:rsid w:val="008E4806"/>
    <w:rsid w:val="00925BB6"/>
    <w:rsid w:val="00941525"/>
    <w:rsid w:val="0094200E"/>
    <w:rsid w:val="0094741F"/>
    <w:rsid w:val="00955951"/>
    <w:rsid w:val="009B210E"/>
    <w:rsid w:val="00A87F30"/>
    <w:rsid w:val="00A9120C"/>
    <w:rsid w:val="00AB06E5"/>
    <w:rsid w:val="00AD4CA8"/>
    <w:rsid w:val="00B059BB"/>
    <w:rsid w:val="00B20B6D"/>
    <w:rsid w:val="00B21213"/>
    <w:rsid w:val="00B36A4A"/>
    <w:rsid w:val="00BB2C73"/>
    <w:rsid w:val="00BD153C"/>
    <w:rsid w:val="00BD2AA5"/>
    <w:rsid w:val="00BD3D3D"/>
    <w:rsid w:val="00BF0294"/>
    <w:rsid w:val="00BF3B05"/>
    <w:rsid w:val="00C145D1"/>
    <w:rsid w:val="00C17F10"/>
    <w:rsid w:val="00C52988"/>
    <w:rsid w:val="00C539F5"/>
    <w:rsid w:val="00C604D3"/>
    <w:rsid w:val="00C673CA"/>
    <w:rsid w:val="00CF23C6"/>
    <w:rsid w:val="00CF6F98"/>
    <w:rsid w:val="00D06918"/>
    <w:rsid w:val="00D348E1"/>
    <w:rsid w:val="00D736F1"/>
    <w:rsid w:val="00D74209"/>
    <w:rsid w:val="00D766D2"/>
    <w:rsid w:val="00DC1561"/>
    <w:rsid w:val="00DD439D"/>
    <w:rsid w:val="00DE614E"/>
    <w:rsid w:val="00DF3C47"/>
    <w:rsid w:val="00E05AC1"/>
    <w:rsid w:val="00E37D9C"/>
    <w:rsid w:val="00E44A8B"/>
    <w:rsid w:val="00EA3A61"/>
    <w:rsid w:val="00EA63C9"/>
    <w:rsid w:val="00EC3D3D"/>
    <w:rsid w:val="00F01035"/>
    <w:rsid w:val="00F171DC"/>
    <w:rsid w:val="00F45B6D"/>
    <w:rsid w:val="00F55DEC"/>
    <w:rsid w:val="00F57D4F"/>
    <w:rsid w:val="00F603C5"/>
    <w:rsid w:val="00FA7F0D"/>
    <w:rsid w:val="00FE307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docId w15:val="{A54FC286-C801-4EC6-B355-EA6BA7A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3F0986"/>
    <w:rPr>
      <w:color w:val="0563C1" w:themeColor="hyperlink"/>
      <w:u w:val="single"/>
    </w:rPr>
  </w:style>
  <w:style w:type="paragraph" w:styleId="ListParagraph">
    <w:name w:val="List Paragraph"/>
    <w:basedOn w:val="Normal"/>
    <w:uiPriority w:val="34"/>
    <w:qFormat/>
    <w:rsid w:val="0072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ma.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rasaivvg.l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F0B5D2-16F4-48A5-ADCF-147D5D37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3157</Words>
  <Characters>1800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Jūratė</cp:lastModifiedBy>
  <cp:revision>6</cp:revision>
  <dcterms:created xsi:type="dcterms:W3CDTF">2021-10-12T10:29:00Z</dcterms:created>
  <dcterms:modified xsi:type="dcterms:W3CDTF">2021-11-24T09:00:00Z</dcterms:modified>
</cp:coreProperties>
</file>