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3F8C" w14:textId="0C4F4673" w:rsidR="00815962" w:rsidRPr="00DF07DF" w:rsidRDefault="00815962" w:rsidP="000A1714">
      <w:pPr>
        <w:rPr>
          <w:lang w:val="lt-LT"/>
        </w:rPr>
      </w:pPr>
    </w:p>
    <w:p w14:paraId="05EB89ED" w14:textId="15325518" w:rsidR="001F3C12" w:rsidRPr="00DF07DF" w:rsidRDefault="001F3C12" w:rsidP="00E76D23">
      <w:pPr>
        <w:rPr>
          <w:lang w:val="lt-LT"/>
        </w:rPr>
      </w:pPr>
      <w:r w:rsidRPr="004D205B">
        <w:rPr>
          <w:b/>
          <w:noProof/>
          <w:lang w:val="lt-LT" w:eastAsia="lt-LT"/>
        </w:rPr>
        <w:drawing>
          <wp:inline distT="0" distB="0" distL="0" distR="0" wp14:anchorId="7FFC68E6" wp14:editId="4D2E775C">
            <wp:extent cx="3404734" cy="8006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662" cy="862712"/>
                    </a:xfrm>
                    <a:prstGeom prst="rect">
                      <a:avLst/>
                    </a:prstGeom>
                    <a:noFill/>
                  </pic:spPr>
                </pic:pic>
              </a:graphicData>
            </a:graphic>
          </wp:inline>
        </w:drawing>
      </w:r>
      <w:r w:rsidR="00E76D23" w:rsidRPr="004D205B">
        <w:rPr>
          <w:rFonts w:ascii="Arial" w:hAnsi="Arial" w:cs="Arial"/>
          <w:noProof/>
          <w:sz w:val="20"/>
          <w:lang w:val="lt-LT" w:eastAsia="lt-LT"/>
        </w:rPr>
        <w:drawing>
          <wp:inline distT="0" distB="0" distL="0" distR="0" wp14:anchorId="6F2A9558" wp14:editId="2D5A572B">
            <wp:extent cx="791739" cy="795737"/>
            <wp:effectExtent l="0" t="0" r="8890" b="4445"/>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12" cy="829680"/>
                    </a:xfrm>
                    <a:prstGeom prst="rect">
                      <a:avLst/>
                    </a:prstGeom>
                    <a:noFill/>
                    <a:ln>
                      <a:noFill/>
                    </a:ln>
                  </pic:spPr>
                </pic:pic>
              </a:graphicData>
            </a:graphic>
          </wp:inline>
        </w:drawing>
      </w:r>
      <w:r w:rsidR="00E76D23">
        <w:rPr>
          <w:noProof/>
          <w:lang w:val="lt-LT"/>
        </w:rPr>
        <w:drawing>
          <wp:inline distT="0" distB="0" distL="0" distR="0" wp14:anchorId="4E64261F" wp14:editId="1500F73F">
            <wp:extent cx="602896" cy="83822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88" cy="856014"/>
                    </a:xfrm>
                    <a:prstGeom prst="rect">
                      <a:avLst/>
                    </a:prstGeom>
                    <a:noFill/>
                  </pic:spPr>
                </pic:pic>
              </a:graphicData>
            </a:graphic>
          </wp:inline>
        </w:drawing>
      </w:r>
      <w:r w:rsidR="00E76D23">
        <w:rPr>
          <w:noProof/>
          <w:lang w:val="lt-LT"/>
        </w:rPr>
        <w:drawing>
          <wp:inline distT="0" distB="0" distL="0" distR="0" wp14:anchorId="46F72D4F" wp14:editId="181175D6">
            <wp:extent cx="1408928" cy="80193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236" cy="844232"/>
                    </a:xfrm>
                    <a:prstGeom prst="rect">
                      <a:avLst/>
                    </a:prstGeom>
                    <a:noFill/>
                  </pic:spPr>
                </pic:pic>
              </a:graphicData>
            </a:graphic>
          </wp:inline>
        </w:drawing>
      </w:r>
    </w:p>
    <w:p w14:paraId="3C8D3003" w14:textId="77777777" w:rsidR="00C604D3" w:rsidRPr="00E7190E" w:rsidRDefault="00C604D3" w:rsidP="000541E4">
      <w:pPr>
        <w:jc w:val="center"/>
        <w:rPr>
          <w:sz w:val="22"/>
          <w:lang w:val="lt-LT"/>
        </w:rPr>
      </w:pPr>
    </w:p>
    <w:p w14:paraId="2EC3960F" w14:textId="1A82EC5D" w:rsidR="00815962" w:rsidRPr="00E7190E" w:rsidRDefault="000541E4" w:rsidP="000541E4">
      <w:pPr>
        <w:jc w:val="center"/>
        <w:rPr>
          <w:b/>
          <w:sz w:val="22"/>
          <w:lang w:val="lt-LT"/>
        </w:rPr>
      </w:pPr>
      <w:r w:rsidRPr="00E7190E">
        <w:rPr>
          <w:b/>
          <w:sz w:val="22"/>
          <w:lang w:val="lt-LT"/>
        </w:rPr>
        <w:t xml:space="preserve">KVIETIMAS TEIKTI VIETOS PROJEKTUS Nr. </w:t>
      </w:r>
      <w:r w:rsidR="00E76D23" w:rsidRPr="00E7190E">
        <w:rPr>
          <w:b/>
          <w:sz w:val="22"/>
          <w:lang w:val="lt-LT"/>
        </w:rPr>
        <w:t>7</w:t>
      </w:r>
    </w:p>
    <w:p w14:paraId="302C3683" w14:textId="1EEB267E" w:rsidR="0065482F" w:rsidRPr="00E7190E" w:rsidRDefault="00E76D23" w:rsidP="00E76D23">
      <w:pPr>
        <w:ind w:firstLine="567"/>
        <w:jc w:val="both"/>
        <w:rPr>
          <w:sz w:val="22"/>
          <w:lang w:val="lt-LT"/>
        </w:rPr>
      </w:pPr>
      <w:r w:rsidRPr="00E7190E">
        <w:rPr>
          <w:sz w:val="22"/>
          <w:lang w:val="lt-LT"/>
        </w:rPr>
        <w:t>Zarasų – Visagino regiono vietos veiklos grupė kviečia teikti paprastus</w:t>
      </w:r>
      <w:r w:rsidRPr="00E7190E">
        <w:rPr>
          <w:rFonts w:cs="Times New Roman"/>
          <w:sz w:val="22"/>
          <w:lang w:val="lt-LT"/>
        </w:rPr>
        <w:t xml:space="preserve"> žvejybos ir akvakultūros</w:t>
      </w:r>
      <w:r w:rsidRPr="00E7190E">
        <w:rPr>
          <w:sz w:val="22"/>
          <w:lang w:val="lt-LT"/>
        </w:rPr>
        <w:t xml:space="preserve">  vietos projektus pagal </w:t>
      </w:r>
      <w:proofErr w:type="spellStart"/>
      <w:r w:rsidRPr="00E7190E">
        <w:rPr>
          <w:sz w:val="22"/>
          <w:lang w:val="lt-LT"/>
        </w:rPr>
        <w:t>dvisektorės</w:t>
      </w:r>
      <w:proofErr w:type="spellEnd"/>
      <w:r w:rsidRPr="00E7190E">
        <w:rPr>
          <w:sz w:val="22"/>
          <w:lang w:val="lt-LT"/>
        </w:rPr>
        <w:t xml:space="preserve"> vietos plėtros strategijos „Zarasų – Visagino regiono </w:t>
      </w:r>
      <w:proofErr w:type="spellStart"/>
      <w:r w:rsidRPr="00E7190E">
        <w:rPr>
          <w:sz w:val="22"/>
          <w:lang w:val="lt-LT"/>
        </w:rPr>
        <w:t>dvisektorė</w:t>
      </w:r>
      <w:proofErr w:type="spellEnd"/>
      <w:r w:rsidRPr="00E7190E">
        <w:rPr>
          <w:sz w:val="22"/>
          <w:lang w:val="lt-LT"/>
        </w:rPr>
        <w:t xml:space="preserve">  vietos plėtros strategija, Zarasų – Visagino regionas, 2014-2020“ (toliau – VPS) priemonę</w:t>
      </w:r>
      <w:r w:rsidR="00F50BDD">
        <w:rPr>
          <w:sz w:val="22"/>
          <w:lang w:val="lt-LT"/>
        </w:rPr>
        <w:t>:</w:t>
      </w:r>
      <w:r w:rsidRPr="00E7190E">
        <w:rPr>
          <w:sz w:val="22"/>
          <w:lang w:val="lt-LT"/>
        </w:rPr>
        <w:t xml:space="preserve"> </w:t>
      </w:r>
    </w:p>
    <w:tbl>
      <w:tblPr>
        <w:tblStyle w:val="TableGrid"/>
        <w:tblW w:w="0" w:type="auto"/>
        <w:jc w:val="right"/>
        <w:tblLook w:val="04A0" w:firstRow="1" w:lastRow="0" w:firstColumn="1" w:lastColumn="0" w:noHBand="0" w:noVBand="1"/>
      </w:tblPr>
      <w:tblGrid>
        <w:gridCol w:w="3397"/>
        <w:gridCol w:w="6521"/>
      </w:tblGrid>
      <w:tr w:rsidR="00242297" w:rsidRPr="00E7190E" w14:paraId="76CB635F" w14:textId="77777777" w:rsidTr="00E7190E">
        <w:trPr>
          <w:jc w:val="right"/>
        </w:trPr>
        <w:tc>
          <w:tcPr>
            <w:tcW w:w="3397" w:type="dxa"/>
            <w:vMerge w:val="restart"/>
            <w:vAlign w:val="center"/>
          </w:tcPr>
          <w:p w14:paraId="0FECC1EA" w14:textId="72951206" w:rsidR="00E76D23" w:rsidRPr="00E7190E" w:rsidRDefault="00E76D23" w:rsidP="00E76D23">
            <w:pPr>
              <w:rPr>
                <w:b/>
                <w:sz w:val="22"/>
                <w:lang w:val="lt-LT"/>
              </w:rPr>
            </w:pPr>
            <w:r w:rsidRPr="00E7190E">
              <w:rPr>
                <w:b/>
                <w:sz w:val="22"/>
                <w:lang w:val="lt-LT"/>
              </w:rPr>
              <w:t xml:space="preserve"> „Sąlygų rekreacinei žvejybai sudarymas ir gerinimas“ </w:t>
            </w:r>
          </w:p>
          <w:p w14:paraId="04CC9029" w14:textId="08D7F232" w:rsidR="00F45B6D" w:rsidRPr="00E7190E" w:rsidRDefault="00E76D23" w:rsidP="00E76D23">
            <w:pPr>
              <w:rPr>
                <w:sz w:val="22"/>
                <w:lang w:val="lt-LT"/>
              </w:rPr>
            </w:pPr>
            <w:r w:rsidRPr="00E7190E">
              <w:rPr>
                <w:b/>
                <w:sz w:val="22"/>
                <w:lang w:val="lt-LT"/>
              </w:rPr>
              <w:t>Nr. BIVP-AKVA-SAVA-2</w:t>
            </w:r>
          </w:p>
        </w:tc>
        <w:tc>
          <w:tcPr>
            <w:tcW w:w="6521" w:type="dxa"/>
          </w:tcPr>
          <w:p w14:paraId="2211CBD8" w14:textId="648D2F22" w:rsidR="00E76D23" w:rsidRPr="00E7190E" w:rsidRDefault="00E76D23" w:rsidP="00E76D23">
            <w:pPr>
              <w:suppressAutoHyphens/>
              <w:autoSpaceDE w:val="0"/>
              <w:autoSpaceDN w:val="0"/>
              <w:adjustRightInd w:val="0"/>
              <w:jc w:val="both"/>
              <w:textAlignment w:val="center"/>
              <w:rPr>
                <w:sz w:val="22"/>
                <w:lang w:val="lt-LT"/>
              </w:rPr>
            </w:pPr>
            <w:r w:rsidRPr="00E7190E">
              <w:rPr>
                <w:sz w:val="22"/>
                <w:lang w:val="lt-LT"/>
              </w:rPr>
              <w:t>Priemonė yra skirta  regiono žvejybos paveldo išsaugojimui ir pritaikymui rekreacinei žvejybai bei vandens telkinių ir  pakrančių infrastruktūros kūrimui, pritaikant ją  rekreacinei žvejybai.</w:t>
            </w:r>
          </w:p>
          <w:p w14:paraId="1FC5E088" w14:textId="77777777" w:rsidR="00E76D23" w:rsidRPr="000C14D8" w:rsidRDefault="00E76D23" w:rsidP="00E76D23">
            <w:pPr>
              <w:suppressAutoHyphens/>
              <w:autoSpaceDE w:val="0"/>
              <w:autoSpaceDN w:val="0"/>
              <w:adjustRightInd w:val="0"/>
              <w:jc w:val="both"/>
              <w:textAlignment w:val="center"/>
              <w:rPr>
                <w:b/>
                <w:sz w:val="22"/>
                <w:lang w:val="lt-LT"/>
              </w:rPr>
            </w:pPr>
            <w:r w:rsidRPr="000C14D8">
              <w:rPr>
                <w:b/>
                <w:sz w:val="22"/>
                <w:lang w:val="lt-LT"/>
              </w:rPr>
              <w:t>Pagal VPS priemonę parama teikiama:</w:t>
            </w:r>
          </w:p>
          <w:p w14:paraId="05438AB1" w14:textId="77777777" w:rsidR="00E76D23" w:rsidRPr="00E7190E" w:rsidRDefault="00E76D23" w:rsidP="00E76D23">
            <w:pPr>
              <w:suppressAutoHyphens/>
              <w:autoSpaceDE w:val="0"/>
              <w:autoSpaceDN w:val="0"/>
              <w:adjustRightInd w:val="0"/>
              <w:jc w:val="both"/>
              <w:textAlignment w:val="center"/>
              <w:rPr>
                <w:sz w:val="22"/>
                <w:lang w:val="lt-LT"/>
              </w:rPr>
            </w:pPr>
            <w:r w:rsidRPr="00E7190E">
              <w:rPr>
                <w:sz w:val="22"/>
                <w:lang w:val="lt-LT"/>
              </w:rPr>
              <w:t xml:space="preserve">1.  regiono žvejybos paveldo saugojimas  ir pritaikymas rekreacinei žvejybai (mėgėjiškos žvejybos įrankiais ir būdais); </w:t>
            </w:r>
          </w:p>
          <w:p w14:paraId="36C320BA" w14:textId="0B2C4E25" w:rsidR="00E76D23" w:rsidRPr="00E7190E" w:rsidRDefault="00E76D23" w:rsidP="00E76D23">
            <w:pPr>
              <w:jc w:val="both"/>
              <w:rPr>
                <w:b/>
                <w:sz w:val="22"/>
                <w:lang w:val="lt-LT"/>
              </w:rPr>
            </w:pPr>
            <w:r w:rsidRPr="00E7190E">
              <w:rPr>
                <w:sz w:val="22"/>
                <w:lang w:val="lt-LT"/>
              </w:rPr>
              <w:t>2. vandens telkinių ir pakrančių infrastruktūros įrengimas turistinei, rekreacinei žvejybai (žvejybos lieptelių, prieplaukų įrengimas, valčių įleidimo į vandenį vietų įrengimas).</w:t>
            </w:r>
          </w:p>
        </w:tc>
      </w:tr>
      <w:tr w:rsidR="00242297" w:rsidRPr="00E7190E" w14:paraId="5A338D90" w14:textId="77777777" w:rsidTr="00E7190E">
        <w:trPr>
          <w:jc w:val="right"/>
        </w:trPr>
        <w:tc>
          <w:tcPr>
            <w:tcW w:w="3397" w:type="dxa"/>
            <w:vMerge/>
          </w:tcPr>
          <w:p w14:paraId="73B0319D" w14:textId="77777777" w:rsidR="00F45B6D" w:rsidRPr="00E7190E" w:rsidRDefault="00F45B6D" w:rsidP="0065482F">
            <w:pPr>
              <w:jc w:val="both"/>
              <w:rPr>
                <w:sz w:val="22"/>
                <w:lang w:val="lt-LT"/>
              </w:rPr>
            </w:pPr>
          </w:p>
        </w:tc>
        <w:tc>
          <w:tcPr>
            <w:tcW w:w="6521" w:type="dxa"/>
          </w:tcPr>
          <w:p w14:paraId="68DD335D" w14:textId="77777777" w:rsidR="00F45B6D" w:rsidRPr="00E7190E" w:rsidRDefault="00242297" w:rsidP="008A445D">
            <w:pPr>
              <w:jc w:val="both"/>
              <w:rPr>
                <w:rFonts w:eastAsia="Calibri"/>
                <w:b/>
                <w:sz w:val="22"/>
                <w:lang w:val="lt-LT"/>
              </w:rPr>
            </w:pPr>
            <w:r w:rsidRPr="00E7190E">
              <w:rPr>
                <w:rFonts w:eastAsia="Calibri"/>
                <w:b/>
                <w:sz w:val="22"/>
                <w:lang w:val="lt-LT"/>
              </w:rPr>
              <w:t>Tinkami vietos projektų vykdytojai</w:t>
            </w:r>
            <w:r w:rsidR="00E76D23" w:rsidRPr="00E7190E">
              <w:rPr>
                <w:rFonts w:eastAsia="Calibri"/>
                <w:b/>
                <w:sz w:val="22"/>
                <w:lang w:val="lt-LT"/>
              </w:rPr>
              <w:t>:</w:t>
            </w:r>
          </w:p>
          <w:p w14:paraId="496C48D9" w14:textId="02FEC298" w:rsidR="00E76D23" w:rsidRPr="00E7190E" w:rsidRDefault="00E76D23" w:rsidP="00E76D23">
            <w:pPr>
              <w:pStyle w:val="CentrBold"/>
              <w:spacing w:line="240" w:lineRule="auto"/>
              <w:jc w:val="both"/>
              <w:rPr>
                <w:b w:val="0"/>
                <w:caps w:val="0"/>
                <w:sz w:val="22"/>
                <w:szCs w:val="22"/>
                <w:lang w:val="lt-LT"/>
              </w:rPr>
            </w:pPr>
            <w:r w:rsidRPr="00E7190E">
              <w:rPr>
                <w:b w:val="0"/>
                <w:caps w:val="0"/>
                <w:sz w:val="22"/>
                <w:szCs w:val="22"/>
                <w:lang w:val="lt-LT"/>
              </w:rPr>
              <w:t>Viešieji pelno nesiekiantys juridiniai asmenys, registruoti pagal LR Asociacijų, Labdaros ir paramos fondų, Viešųjų įstaigų įstatymus, Zarasų rajono savivaldybė, Visagino savivaldybė.</w:t>
            </w:r>
          </w:p>
        </w:tc>
      </w:tr>
      <w:tr w:rsidR="00242297" w:rsidRPr="00E7190E" w14:paraId="2CE1DB12" w14:textId="77777777" w:rsidTr="00E7190E">
        <w:trPr>
          <w:jc w:val="right"/>
        </w:trPr>
        <w:tc>
          <w:tcPr>
            <w:tcW w:w="3397" w:type="dxa"/>
            <w:vMerge/>
          </w:tcPr>
          <w:p w14:paraId="06CABA43" w14:textId="77777777" w:rsidR="00F45B6D" w:rsidRPr="00E7190E" w:rsidRDefault="00F45B6D" w:rsidP="0065482F">
            <w:pPr>
              <w:jc w:val="both"/>
              <w:rPr>
                <w:sz w:val="22"/>
                <w:lang w:val="lt-LT"/>
              </w:rPr>
            </w:pPr>
          </w:p>
        </w:tc>
        <w:tc>
          <w:tcPr>
            <w:tcW w:w="6521" w:type="dxa"/>
          </w:tcPr>
          <w:p w14:paraId="19960F9E" w14:textId="1C583F83" w:rsidR="00F45B6D" w:rsidRPr="00E7190E" w:rsidRDefault="008A445D" w:rsidP="00E76D23">
            <w:pPr>
              <w:jc w:val="both"/>
              <w:rPr>
                <w:sz w:val="22"/>
                <w:lang w:val="lt-LT"/>
              </w:rPr>
            </w:pPr>
            <w:r w:rsidRPr="00E7190E">
              <w:rPr>
                <w:b/>
                <w:sz w:val="22"/>
                <w:lang w:val="lt-LT"/>
              </w:rPr>
              <w:t>Kvietimui skiriama VPS paramos lėšų suma</w:t>
            </w:r>
            <w:r w:rsidRPr="00E7190E">
              <w:rPr>
                <w:sz w:val="22"/>
                <w:lang w:val="lt-LT"/>
              </w:rPr>
              <w:t xml:space="preserve"> </w:t>
            </w:r>
            <w:r w:rsidR="00E7190E">
              <w:rPr>
                <w:sz w:val="22"/>
              </w:rPr>
              <w:t xml:space="preserve"> - </w:t>
            </w:r>
            <w:r w:rsidR="00E76D23" w:rsidRPr="00E7190E">
              <w:rPr>
                <w:sz w:val="22"/>
              </w:rPr>
              <w:t xml:space="preserve">121 868,00 </w:t>
            </w:r>
            <w:r w:rsidRPr="00E7190E">
              <w:rPr>
                <w:sz w:val="22"/>
                <w:lang w:val="lt-LT"/>
              </w:rPr>
              <w:t>Eur</w:t>
            </w:r>
            <w:r w:rsidR="00E7190E" w:rsidRPr="00E7190E">
              <w:rPr>
                <w:sz w:val="22"/>
                <w:lang w:val="lt-LT"/>
              </w:rPr>
              <w:t>.</w:t>
            </w:r>
            <w:r w:rsidR="0094200E" w:rsidRPr="00E7190E">
              <w:rPr>
                <w:sz w:val="22"/>
                <w:lang w:val="lt-LT"/>
              </w:rPr>
              <w:t xml:space="preserve"> </w:t>
            </w:r>
            <w:r w:rsidR="00E7190E" w:rsidRPr="00E7190E">
              <w:rPr>
                <w:sz w:val="22"/>
                <w:lang w:val="lt-LT"/>
              </w:rPr>
              <w:t>D</w:t>
            </w:r>
            <w:r w:rsidRPr="00E7190E">
              <w:rPr>
                <w:sz w:val="22"/>
                <w:lang w:val="lt-LT"/>
              </w:rPr>
              <w:t xml:space="preserve">idžiausia galima parama vienam vietos projektui įgyvendinti </w:t>
            </w:r>
            <w:r w:rsidR="00E7190E" w:rsidRPr="00E7190E">
              <w:rPr>
                <w:sz w:val="22"/>
              </w:rPr>
              <w:t xml:space="preserve">30 467,00  </w:t>
            </w:r>
            <w:r w:rsidRPr="00E7190E">
              <w:rPr>
                <w:sz w:val="22"/>
                <w:lang w:val="lt-LT"/>
              </w:rPr>
              <w:t>Eur</w:t>
            </w:r>
            <w:r w:rsidR="00E7190E" w:rsidRPr="00E7190E">
              <w:rPr>
                <w:sz w:val="22"/>
                <w:lang w:val="lt-LT"/>
              </w:rPr>
              <w:t>.</w:t>
            </w:r>
          </w:p>
        </w:tc>
      </w:tr>
      <w:tr w:rsidR="00242297" w:rsidRPr="00E7190E" w14:paraId="025B7285" w14:textId="77777777" w:rsidTr="000A1714">
        <w:trPr>
          <w:trHeight w:val="327"/>
          <w:jc w:val="right"/>
        </w:trPr>
        <w:tc>
          <w:tcPr>
            <w:tcW w:w="3397" w:type="dxa"/>
            <w:vMerge/>
          </w:tcPr>
          <w:p w14:paraId="6F9DFDA1" w14:textId="77777777" w:rsidR="00F45B6D" w:rsidRPr="00E7190E" w:rsidRDefault="00F45B6D" w:rsidP="0065482F">
            <w:pPr>
              <w:jc w:val="both"/>
              <w:rPr>
                <w:sz w:val="22"/>
                <w:lang w:val="lt-LT"/>
              </w:rPr>
            </w:pPr>
          </w:p>
        </w:tc>
        <w:tc>
          <w:tcPr>
            <w:tcW w:w="6521" w:type="dxa"/>
          </w:tcPr>
          <w:p w14:paraId="4953EF4F" w14:textId="2AC9E56A" w:rsidR="00F45B6D" w:rsidRPr="00E7190E" w:rsidRDefault="008A445D" w:rsidP="000A1714">
            <w:pPr>
              <w:jc w:val="both"/>
              <w:rPr>
                <w:sz w:val="22"/>
                <w:lang w:val="lt-LT"/>
              </w:rPr>
            </w:pPr>
            <w:r w:rsidRPr="00E7190E">
              <w:rPr>
                <w:b/>
                <w:sz w:val="22"/>
                <w:lang w:val="lt-LT"/>
              </w:rPr>
              <w:t>Paramos vietos projektui įgyvendinti lyginamoji dalis</w:t>
            </w:r>
            <w:r w:rsidR="00E7190E">
              <w:rPr>
                <w:b/>
                <w:sz w:val="22"/>
                <w:lang w:val="lt-LT"/>
              </w:rPr>
              <w:t xml:space="preserve"> </w:t>
            </w:r>
            <w:r w:rsidR="00F50BDD">
              <w:rPr>
                <w:b/>
                <w:sz w:val="22"/>
                <w:lang w:val="lt-LT"/>
              </w:rPr>
              <w:t>iki</w:t>
            </w:r>
            <w:r w:rsidRPr="00E7190E">
              <w:rPr>
                <w:sz w:val="22"/>
                <w:lang w:val="lt-LT"/>
              </w:rPr>
              <w:t xml:space="preserve"> </w:t>
            </w:r>
            <w:r w:rsidR="00E7190E" w:rsidRPr="00E7190E">
              <w:rPr>
                <w:sz w:val="22"/>
                <w:lang w:val="lt-LT"/>
              </w:rPr>
              <w:t>80</w:t>
            </w:r>
            <w:r w:rsidRPr="00E7190E">
              <w:rPr>
                <w:sz w:val="22"/>
                <w:lang w:val="lt-LT"/>
              </w:rPr>
              <w:t xml:space="preserve"> proc.</w:t>
            </w:r>
          </w:p>
        </w:tc>
      </w:tr>
      <w:tr w:rsidR="005C4E1A" w:rsidRPr="00E7190E" w14:paraId="38CC7B0E" w14:textId="77777777" w:rsidTr="00E7190E">
        <w:trPr>
          <w:trHeight w:val="501"/>
          <w:jc w:val="right"/>
        </w:trPr>
        <w:tc>
          <w:tcPr>
            <w:tcW w:w="3397" w:type="dxa"/>
            <w:vMerge/>
          </w:tcPr>
          <w:p w14:paraId="09450BDF" w14:textId="77777777" w:rsidR="005C4E1A" w:rsidRPr="00E7190E" w:rsidRDefault="005C4E1A" w:rsidP="0065482F">
            <w:pPr>
              <w:jc w:val="both"/>
              <w:rPr>
                <w:sz w:val="22"/>
                <w:lang w:val="lt-LT"/>
              </w:rPr>
            </w:pPr>
          </w:p>
        </w:tc>
        <w:tc>
          <w:tcPr>
            <w:tcW w:w="6521" w:type="dxa"/>
          </w:tcPr>
          <w:p w14:paraId="38E51C4B" w14:textId="74A1FF36" w:rsidR="00E7190E" w:rsidRPr="00E7190E" w:rsidRDefault="005C4E1A" w:rsidP="00E7190E">
            <w:pPr>
              <w:jc w:val="both"/>
              <w:rPr>
                <w:b/>
                <w:sz w:val="22"/>
                <w:lang w:val="lt-LT"/>
              </w:rPr>
            </w:pPr>
            <w:r w:rsidRPr="00E7190E">
              <w:rPr>
                <w:b/>
                <w:sz w:val="22"/>
                <w:lang w:val="lt-LT"/>
              </w:rPr>
              <w:t xml:space="preserve">Finansavimo šaltiniai: </w:t>
            </w:r>
          </w:p>
          <w:p w14:paraId="487B2F25" w14:textId="0D5E2B27" w:rsidR="005C4E1A" w:rsidRPr="00E7190E" w:rsidRDefault="005C4E1A" w:rsidP="0065482F">
            <w:pPr>
              <w:jc w:val="both"/>
              <w:rPr>
                <w:sz w:val="22"/>
                <w:lang w:val="lt-LT"/>
              </w:rPr>
            </w:pPr>
            <w:r w:rsidRPr="00E7190E">
              <w:rPr>
                <w:sz w:val="22"/>
                <w:lang w:val="lt-LT"/>
              </w:rPr>
              <w:t>EJRŽF ir Lietuvos Respublikos valstybės biudžeto lėšos</w:t>
            </w:r>
            <w:r w:rsidR="00E7190E" w:rsidRPr="00E7190E">
              <w:rPr>
                <w:sz w:val="22"/>
                <w:lang w:val="lt-LT"/>
              </w:rPr>
              <w:t>.</w:t>
            </w:r>
          </w:p>
        </w:tc>
      </w:tr>
    </w:tbl>
    <w:p w14:paraId="6D4CF796" w14:textId="3FC6F570" w:rsidR="00E7190E" w:rsidRPr="00E7190E" w:rsidRDefault="00E7190E" w:rsidP="000A1714">
      <w:pPr>
        <w:spacing w:after="0" w:line="240" w:lineRule="auto"/>
        <w:ind w:firstLine="567"/>
        <w:jc w:val="both"/>
        <w:rPr>
          <w:sz w:val="22"/>
          <w:lang w:val="lt-LT"/>
        </w:rPr>
      </w:pPr>
      <w:r w:rsidRPr="00E7190E">
        <w:rPr>
          <w:sz w:val="22"/>
          <w:lang w:val="lt-LT"/>
        </w:rPr>
        <w:t xml:space="preserve">Vietos projektų finansavimo sąlygų aprašai skelbiami šiose interneto svetainėse </w:t>
      </w:r>
      <w:hyperlink r:id="rId11" w:history="1">
        <w:r w:rsidRPr="00E7190E">
          <w:rPr>
            <w:rStyle w:val="Hyperlink"/>
            <w:sz w:val="22"/>
            <w:lang w:val="lt-LT"/>
          </w:rPr>
          <w:t>www.zarasaivvg.lt</w:t>
        </w:r>
      </w:hyperlink>
      <w:r w:rsidRPr="00E7190E">
        <w:rPr>
          <w:sz w:val="22"/>
          <w:lang w:val="lt-LT"/>
        </w:rPr>
        <w:t xml:space="preserve"> ir </w:t>
      </w:r>
      <w:hyperlink r:id="rId12" w:history="1">
        <w:r w:rsidRPr="00E7190E">
          <w:rPr>
            <w:rStyle w:val="Hyperlink"/>
            <w:sz w:val="22"/>
            <w:lang w:val="lt-LT"/>
          </w:rPr>
          <w:t>www.nma.lt</w:t>
        </w:r>
      </w:hyperlink>
      <w:r w:rsidRPr="00E7190E">
        <w:rPr>
          <w:sz w:val="22"/>
          <w:lang w:val="lt-LT"/>
        </w:rPr>
        <w:t>, taip pat Zarasų – Visagino regiono vietos veiklos grupės būstinėje adresu Sėlių a. 22, 327 kab., Zarasai.</w:t>
      </w:r>
    </w:p>
    <w:p w14:paraId="3CC3158E" w14:textId="62F2E25F" w:rsidR="00E7190E" w:rsidRPr="00E7190E" w:rsidRDefault="00E7190E" w:rsidP="00E7190E">
      <w:pPr>
        <w:spacing w:after="0" w:line="240" w:lineRule="auto"/>
        <w:ind w:firstLine="567"/>
        <w:jc w:val="both"/>
        <w:rPr>
          <w:sz w:val="22"/>
          <w:lang w:val="lt-LT"/>
        </w:rPr>
      </w:pPr>
      <w:r w:rsidRPr="00E7190E">
        <w:rPr>
          <w:sz w:val="22"/>
          <w:lang w:val="lt-LT"/>
        </w:rPr>
        <w:t xml:space="preserve">Kvietimas teikti vietos projektus galioja </w:t>
      </w:r>
      <w:r w:rsidRPr="00BA3814">
        <w:rPr>
          <w:sz w:val="22"/>
          <w:lang w:val="lt-LT"/>
        </w:rPr>
        <w:t xml:space="preserve">nuo 2018 m.  spalio </w:t>
      </w:r>
      <w:r w:rsidR="000A1714">
        <w:rPr>
          <w:sz w:val="22"/>
          <w:lang w:val="lt-LT"/>
        </w:rPr>
        <w:t xml:space="preserve"> </w:t>
      </w:r>
      <w:r w:rsidRPr="00BA3814">
        <w:rPr>
          <w:sz w:val="22"/>
          <w:lang w:val="lt-LT"/>
        </w:rPr>
        <w:t>2</w:t>
      </w:r>
      <w:r w:rsidR="00BA3814" w:rsidRPr="00BA3814">
        <w:rPr>
          <w:sz w:val="22"/>
          <w:lang w:val="lt-LT"/>
        </w:rPr>
        <w:t>2</w:t>
      </w:r>
      <w:r w:rsidRPr="00BA3814">
        <w:rPr>
          <w:sz w:val="22"/>
          <w:lang w:val="lt-LT"/>
        </w:rPr>
        <w:t xml:space="preserve"> d., 8.00 val. iki </w:t>
      </w:r>
      <w:r w:rsidR="000C14D8" w:rsidRPr="00BA3814">
        <w:rPr>
          <w:sz w:val="22"/>
          <w:lang w:val="lt-LT"/>
        </w:rPr>
        <w:t xml:space="preserve"> </w:t>
      </w:r>
      <w:r w:rsidRPr="00BA3814">
        <w:rPr>
          <w:sz w:val="22"/>
          <w:lang w:val="lt-LT"/>
        </w:rPr>
        <w:t>2018 m.  gruodžio 17 d. 15.00 val.</w:t>
      </w:r>
      <w:r w:rsidRPr="00E7190E">
        <w:rPr>
          <w:sz w:val="22"/>
          <w:lang w:val="lt-LT"/>
        </w:rPr>
        <w:t xml:space="preserve">  </w:t>
      </w:r>
    </w:p>
    <w:p w14:paraId="75EEA747" w14:textId="6977835E" w:rsidR="00FF148D" w:rsidRPr="00E7190E" w:rsidRDefault="00E7190E" w:rsidP="00E7190E">
      <w:pPr>
        <w:spacing w:after="0" w:line="240" w:lineRule="auto"/>
        <w:ind w:firstLine="567"/>
        <w:jc w:val="both"/>
        <w:rPr>
          <w:sz w:val="22"/>
          <w:lang w:val="lt-LT"/>
        </w:rPr>
      </w:pPr>
      <w:r w:rsidRPr="00E7190E">
        <w:rPr>
          <w:sz w:val="22"/>
          <w:lang w:val="lt-LT"/>
        </w:rPr>
        <w:t>Vietos projektų paraiškos priimamos Zarasų – Visagino regiono vietos veiklos grupės būstinėje</w:t>
      </w:r>
      <w:r w:rsidR="000C14D8">
        <w:rPr>
          <w:sz w:val="22"/>
          <w:lang w:val="lt-LT"/>
        </w:rPr>
        <w:t>,</w:t>
      </w:r>
      <w:r w:rsidRPr="00E7190E">
        <w:rPr>
          <w:sz w:val="22"/>
          <w:lang w:val="lt-LT"/>
        </w:rPr>
        <w:t xml:space="preserve"> adresu</w:t>
      </w:r>
      <w:r w:rsidR="000C14D8">
        <w:rPr>
          <w:sz w:val="22"/>
          <w:lang w:val="lt-LT"/>
        </w:rPr>
        <w:t>:</w:t>
      </w:r>
      <w:r w:rsidRPr="00E7190E">
        <w:rPr>
          <w:sz w:val="22"/>
          <w:lang w:val="lt-LT"/>
        </w:rPr>
        <w:t xml:space="preserve"> Sėlių a. 22, 327 kab., Zarasai.</w:t>
      </w:r>
    </w:p>
    <w:p w14:paraId="3E11F6F0" w14:textId="77777777" w:rsidR="00E7190E" w:rsidRPr="00E7190E" w:rsidRDefault="00E7190E" w:rsidP="00E7190E">
      <w:pPr>
        <w:spacing w:after="0" w:line="240" w:lineRule="auto"/>
        <w:ind w:firstLine="567"/>
        <w:jc w:val="both"/>
        <w:rPr>
          <w:sz w:val="22"/>
          <w:lang w:val="lt-LT"/>
        </w:rPr>
      </w:pPr>
      <w:r w:rsidRPr="00E7190E">
        <w:rPr>
          <w:sz w:val="22"/>
          <w:lang w:val="lt-LT"/>
        </w:rPr>
        <w:t>Per vieną paramos paraiškų priėmimo laikotarpį vietos projekto paraiškos teikėjas gali pateikti vieną vietos projekto paraišką.</w:t>
      </w:r>
    </w:p>
    <w:p w14:paraId="7F101B2F" w14:textId="2A55CDA3" w:rsidR="00E7190E" w:rsidRPr="00E7190E" w:rsidRDefault="00E7190E" w:rsidP="00E7190E">
      <w:pPr>
        <w:spacing w:after="0" w:line="240" w:lineRule="auto"/>
        <w:ind w:firstLine="567"/>
        <w:jc w:val="both"/>
        <w:rPr>
          <w:sz w:val="22"/>
          <w:lang w:val="lt-LT"/>
        </w:rPr>
      </w:pPr>
      <w:r w:rsidRPr="00E7190E">
        <w:rPr>
          <w:sz w:val="22"/>
          <w:lang w:val="lt-LT"/>
        </w:rPr>
        <w:t xml:space="preserve"> Paraiška ir papildomi dokumentai turi būti pateikti  asmeniškai pareiškėjo arba jo įgalioto asmens (įgaliojimas laikomas tinkamu, jeigu jis pasirašytas juridinio asmens vadovo ir ant jo uždėtas to juridinio asmens antspaudas, jeigu jis antspaudą privalo turėti). </w:t>
      </w:r>
    </w:p>
    <w:p w14:paraId="44653D0F" w14:textId="77777777" w:rsidR="00E7190E" w:rsidRPr="00E7190E" w:rsidRDefault="00E7190E" w:rsidP="00E7190E">
      <w:pPr>
        <w:spacing w:after="0" w:line="240" w:lineRule="auto"/>
        <w:ind w:firstLine="567"/>
        <w:jc w:val="both"/>
        <w:rPr>
          <w:sz w:val="22"/>
          <w:lang w:val="lt-LT"/>
        </w:rPr>
      </w:pPr>
      <w:r w:rsidRPr="00E7190E">
        <w:rPr>
          <w:sz w:val="22"/>
          <w:lang w:val="lt-LT"/>
        </w:rPr>
        <w:t>Vietos projektų paraiškos, pateiktos kitu būdu (pvz., paštu, per kurjerį)  nepriimamos.</w:t>
      </w:r>
    </w:p>
    <w:p w14:paraId="545077A7" w14:textId="05DB2D4B" w:rsidR="00E7190E" w:rsidRPr="00E7190E" w:rsidRDefault="00E7190E" w:rsidP="00E7190E">
      <w:pPr>
        <w:spacing w:after="0" w:line="240" w:lineRule="auto"/>
        <w:ind w:firstLine="567"/>
        <w:jc w:val="both"/>
        <w:rPr>
          <w:sz w:val="22"/>
          <w:lang w:val="lt-LT"/>
        </w:rPr>
      </w:pPr>
      <w:r w:rsidRPr="00E7190E">
        <w:rPr>
          <w:sz w:val="22"/>
          <w:lang w:val="lt-LT"/>
        </w:rPr>
        <w:t>Informacija apie kvietimą teikti vietos projektus ir vietos projektų įgyvendinimą teikiama VPS vykdytojo buveinėje, darbo dienomis nuo  09:00 valandos iki 17:00 valandos (penktadieniais iki 16:00 val.) ir telefonais:</w:t>
      </w:r>
    </w:p>
    <w:p w14:paraId="2E0B1C8F" w14:textId="77777777" w:rsidR="00E7190E" w:rsidRPr="00E7190E" w:rsidRDefault="00E7190E" w:rsidP="00E7190E">
      <w:pPr>
        <w:spacing w:after="0" w:line="240" w:lineRule="auto"/>
        <w:ind w:firstLine="567"/>
        <w:jc w:val="both"/>
        <w:rPr>
          <w:sz w:val="22"/>
          <w:lang w:val="lt-LT"/>
        </w:rPr>
      </w:pPr>
      <w:r w:rsidRPr="00E7190E">
        <w:rPr>
          <w:sz w:val="22"/>
          <w:lang w:val="lt-LT"/>
        </w:rPr>
        <w:t xml:space="preserve">VPS vadovas Arvydas </w:t>
      </w:r>
      <w:proofErr w:type="spellStart"/>
      <w:r w:rsidRPr="00E7190E">
        <w:rPr>
          <w:sz w:val="22"/>
          <w:lang w:val="lt-LT"/>
        </w:rPr>
        <w:t>Veikšra</w:t>
      </w:r>
      <w:proofErr w:type="spellEnd"/>
      <w:r w:rsidRPr="00E7190E">
        <w:rPr>
          <w:sz w:val="22"/>
          <w:lang w:val="lt-LT"/>
        </w:rPr>
        <w:t>, tel.: +370 609 97118;</w:t>
      </w:r>
    </w:p>
    <w:p w14:paraId="3B97314D" w14:textId="324B3336" w:rsidR="000A1714" w:rsidRDefault="00E7190E" w:rsidP="00E7190E">
      <w:pPr>
        <w:spacing w:after="0" w:line="240" w:lineRule="auto"/>
        <w:ind w:firstLine="567"/>
        <w:jc w:val="both"/>
        <w:rPr>
          <w:sz w:val="22"/>
          <w:lang w:val="lt-LT"/>
        </w:rPr>
      </w:pPr>
      <w:r w:rsidRPr="00E7190E">
        <w:rPr>
          <w:sz w:val="22"/>
          <w:lang w:val="lt-LT"/>
        </w:rPr>
        <w:t xml:space="preserve">VPS strategijos administratorė Jūratė </w:t>
      </w:r>
      <w:proofErr w:type="spellStart"/>
      <w:r w:rsidRPr="00E7190E">
        <w:rPr>
          <w:sz w:val="22"/>
          <w:lang w:val="lt-LT"/>
        </w:rPr>
        <w:t>Buičenkienė</w:t>
      </w:r>
      <w:proofErr w:type="spellEnd"/>
      <w:r w:rsidRPr="00E7190E">
        <w:rPr>
          <w:sz w:val="22"/>
          <w:lang w:val="lt-LT"/>
        </w:rPr>
        <w:t>, tel.: +370 609 97119;</w:t>
      </w:r>
    </w:p>
    <w:p w14:paraId="5C34B80D" w14:textId="10B6458F" w:rsidR="00E7190E" w:rsidRPr="00E7190E" w:rsidRDefault="00E7190E" w:rsidP="00E7190E">
      <w:pPr>
        <w:spacing w:after="0" w:line="240" w:lineRule="auto"/>
        <w:ind w:firstLine="567"/>
        <w:jc w:val="both"/>
        <w:rPr>
          <w:sz w:val="22"/>
          <w:lang w:val="lt-LT"/>
        </w:rPr>
      </w:pPr>
      <w:r w:rsidRPr="00E7190E">
        <w:rPr>
          <w:sz w:val="22"/>
          <w:lang w:val="lt-LT"/>
        </w:rPr>
        <w:t>VPS viešųjų ryšių specialistė Julija Goštautaitė-Adomavičienė, tel. +370 699 33084;</w:t>
      </w:r>
    </w:p>
    <w:p w14:paraId="56AC4211" w14:textId="09F86919" w:rsidR="00E7190E" w:rsidRPr="000A1714" w:rsidRDefault="00E7190E" w:rsidP="000A1714">
      <w:pPr>
        <w:spacing w:after="0" w:line="240" w:lineRule="auto"/>
        <w:ind w:firstLine="567"/>
        <w:jc w:val="both"/>
        <w:rPr>
          <w:sz w:val="22"/>
          <w:lang w:val="lt-LT"/>
        </w:rPr>
      </w:pPr>
      <w:r w:rsidRPr="00E7190E">
        <w:rPr>
          <w:sz w:val="22"/>
          <w:lang w:val="lt-LT"/>
        </w:rPr>
        <w:t>VPS finansininkė Danutė Baublienė, tel.: +370 609 97125</w:t>
      </w:r>
      <w:r w:rsidR="000A1714">
        <w:rPr>
          <w:sz w:val="22"/>
          <w:lang w:val="lt-LT"/>
        </w:rPr>
        <w:t>.</w:t>
      </w:r>
      <w:bookmarkStart w:id="0" w:name="_GoBack"/>
      <w:bookmarkEnd w:id="0"/>
    </w:p>
    <w:sectPr w:rsidR="00E7190E" w:rsidRPr="000A1714" w:rsidSect="000A1714">
      <w:headerReference w:type="default" r:id="rId13"/>
      <w:footerReference w:type="first" r:id="rId14"/>
      <w:pgSz w:w="12240" w:h="15840"/>
      <w:pgMar w:top="851"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112D" w14:textId="77777777" w:rsidR="00BC68DA" w:rsidRDefault="00BC68DA" w:rsidP="00BB2C73">
      <w:pPr>
        <w:spacing w:after="0" w:line="240" w:lineRule="auto"/>
      </w:pPr>
      <w:r>
        <w:separator/>
      </w:r>
    </w:p>
  </w:endnote>
  <w:endnote w:type="continuationSeparator" w:id="0">
    <w:p w14:paraId="37266FC9" w14:textId="77777777" w:rsidR="00BC68DA" w:rsidRDefault="00BC68D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2341" w14:textId="77777777" w:rsidR="00BC68DA" w:rsidRDefault="00BC68DA" w:rsidP="00BB2C73">
      <w:pPr>
        <w:spacing w:after="0" w:line="240" w:lineRule="auto"/>
      </w:pPr>
      <w:r>
        <w:separator/>
      </w:r>
    </w:p>
  </w:footnote>
  <w:footnote w:type="continuationSeparator" w:id="0">
    <w:p w14:paraId="26C9EA25" w14:textId="77777777" w:rsidR="00BC68DA" w:rsidRDefault="00BC68DA"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409866"/>
      <w:docPartObj>
        <w:docPartGallery w:val="Page Numbers (Top of Page)"/>
        <w:docPartUnique/>
      </w:docPartObj>
    </w:sdtPr>
    <w:sdtEndPr/>
    <w:sdtContent>
      <w:p w14:paraId="196A573F" w14:textId="7759CD90" w:rsidR="00BB2C73" w:rsidRDefault="00BB2C73">
        <w:pPr>
          <w:pStyle w:val="Header"/>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A1714"/>
    <w:rsid w:val="000C14D8"/>
    <w:rsid w:val="000E2E4E"/>
    <w:rsid w:val="00106EF3"/>
    <w:rsid w:val="001430EA"/>
    <w:rsid w:val="00180F95"/>
    <w:rsid w:val="00191802"/>
    <w:rsid w:val="001B7A9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4241"/>
    <w:rsid w:val="00336817"/>
    <w:rsid w:val="003652C2"/>
    <w:rsid w:val="003C1882"/>
    <w:rsid w:val="00421CC6"/>
    <w:rsid w:val="00476BF2"/>
    <w:rsid w:val="004D205B"/>
    <w:rsid w:val="004F0EFE"/>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D4F4D"/>
    <w:rsid w:val="006D549E"/>
    <w:rsid w:val="006F6FEC"/>
    <w:rsid w:val="00703817"/>
    <w:rsid w:val="00707218"/>
    <w:rsid w:val="00717906"/>
    <w:rsid w:val="007616E9"/>
    <w:rsid w:val="00771F3F"/>
    <w:rsid w:val="007A6288"/>
    <w:rsid w:val="007B792B"/>
    <w:rsid w:val="007C1821"/>
    <w:rsid w:val="007E11CC"/>
    <w:rsid w:val="00815962"/>
    <w:rsid w:val="00837CAA"/>
    <w:rsid w:val="00844395"/>
    <w:rsid w:val="00851626"/>
    <w:rsid w:val="00853AC3"/>
    <w:rsid w:val="008705BE"/>
    <w:rsid w:val="008851CD"/>
    <w:rsid w:val="008A3921"/>
    <w:rsid w:val="008A445D"/>
    <w:rsid w:val="008E4806"/>
    <w:rsid w:val="00907C9D"/>
    <w:rsid w:val="00925BB6"/>
    <w:rsid w:val="00941525"/>
    <w:rsid w:val="0094200E"/>
    <w:rsid w:val="0094741F"/>
    <w:rsid w:val="00955951"/>
    <w:rsid w:val="009C41F9"/>
    <w:rsid w:val="00A87F30"/>
    <w:rsid w:val="00AB06E5"/>
    <w:rsid w:val="00AD4CA8"/>
    <w:rsid w:val="00AD58DF"/>
    <w:rsid w:val="00B059BB"/>
    <w:rsid w:val="00B20B6D"/>
    <w:rsid w:val="00B36A4A"/>
    <w:rsid w:val="00B8236A"/>
    <w:rsid w:val="00B83084"/>
    <w:rsid w:val="00BA3814"/>
    <w:rsid w:val="00BA4BFC"/>
    <w:rsid w:val="00BA5660"/>
    <w:rsid w:val="00BB2C73"/>
    <w:rsid w:val="00BC68DA"/>
    <w:rsid w:val="00BD153C"/>
    <w:rsid w:val="00BD2AA5"/>
    <w:rsid w:val="00BD3D3D"/>
    <w:rsid w:val="00BD5067"/>
    <w:rsid w:val="00BF3B05"/>
    <w:rsid w:val="00C145D1"/>
    <w:rsid w:val="00C17F10"/>
    <w:rsid w:val="00C52988"/>
    <w:rsid w:val="00C539F5"/>
    <w:rsid w:val="00C604D3"/>
    <w:rsid w:val="00C673CA"/>
    <w:rsid w:val="00CF23C6"/>
    <w:rsid w:val="00CF6F98"/>
    <w:rsid w:val="00D06918"/>
    <w:rsid w:val="00D348E1"/>
    <w:rsid w:val="00D736F1"/>
    <w:rsid w:val="00D74209"/>
    <w:rsid w:val="00D766D2"/>
    <w:rsid w:val="00DC1561"/>
    <w:rsid w:val="00DD439D"/>
    <w:rsid w:val="00DE614E"/>
    <w:rsid w:val="00DF07DF"/>
    <w:rsid w:val="00DF3C47"/>
    <w:rsid w:val="00E37D9C"/>
    <w:rsid w:val="00E44A8B"/>
    <w:rsid w:val="00E62EFC"/>
    <w:rsid w:val="00E7190E"/>
    <w:rsid w:val="00E76D23"/>
    <w:rsid w:val="00EA3A61"/>
    <w:rsid w:val="00EA63C9"/>
    <w:rsid w:val="00F171DC"/>
    <w:rsid w:val="00F45B6D"/>
    <w:rsid w:val="00F50BD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CentrBold">
    <w:name w:val="CentrBold"/>
    <w:basedOn w:val="Normal"/>
    <w:rsid w:val="00E76D23"/>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Hyperlink">
    <w:name w:val="Hyperlink"/>
    <w:basedOn w:val="DefaultParagraphFont"/>
    <w:uiPriority w:val="99"/>
    <w:unhideWhenUsed/>
    <w:rsid w:val="00E7190E"/>
    <w:rPr>
      <w:color w:val="0563C1" w:themeColor="hyperlink"/>
      <w:u w:val="single"/>
    </w:rPr>
  </w:style>
  <w:style w:type="character" w:styleId="UnresolvedMention">
    <w:name w:val="Unresolved Mention"/>
    <w:basedOn w:val="DefaultParagraphFont"/>
    <w:uiPriority w:val="99"/>
    <w:semiHidden/>
    <w:unhideWhenUsed/>
    <w:rsid w:val="00E7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rasaivvg.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FB54AD-AF8E-4A6B-92C4-DE47E15A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1891</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Jūratė</cp:lastModifiedBy>
  <cp:revision>8</cp:revision>
  <cp:lastPrinted>2018-10-18T11:06:00Z</cp:lastPrinted>
  <dcterms:created xsi:type="dcterms:W3CDTF">2018-10-08T06:28:00Z</dcterms:created>
  <dcterms:modified xsi:type="dcterms:W3CDTF">2018-10-18T11:10:00Z</dcterms:modified>
</cp:coreProperties>
</file>